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F2A3" w14:textId="53825E6B" w:rsidR="00793215" w:rsidRPr="00793215" w:rsidRDefault="00793215" w:rsidP="00793215">
      <w:pPr>
        <w:jc w:val="center"/>
        <w:rPr>
          <w:b/>
          <w:bCs/>
          <w:sz w:val="48"/>
          <w:szCs w:val="48"/>
        </w:rPr>
      </w:pPr>
      <w:r w:rsidRPr="00793215">
        <w:rPr>
          <w:b/>
          <w:bCs/>
          <w:sz w:val="48"/>
          <w:szCs w:val="48"/>
        </w:rPr>
        <w:t>outline</w:t>
      </w:r>
    </w:p>
    <w:p w14:paraId="50FF8208" w14:textId="77777777" w:rsidR="00793215" w:rsidRDefault="00793215">
      <w:pPr>
        <w:rPr>
          <w:b/>
          <w:bCs/>
        </w:rPr>
      </w:pPr>
    </w:p>
    <w:p w14:paraId="61FD1FBC" w14:textId="257AF154" w:rsidR="00D4273A" w:rsidRDefault="00332C32">
      <w:pPr>
        <w:rPr>
          <w:b/>
          <w:bCs/>
        </w:rPr>
      </w:pPr>
      <w:r w:rsidRPr="00332C32">
        <w:rPr>
          <w:b/>
          <w:bCs/>
        </w:rPr>
        <w:t>Use of modern physical adsorption theories</w:t>
      </w:r>
    </w:p>
    <w:p w14:paraId="0A8593FC" w14:textId="77777777" w:rsidR="00332C32" w:rsidRDefault="00332C32">
      <w:pPr>
        <w:rPr>
          <w:b/>
          <w:bCs/>
        </w:rPr>
      </w:pPr>
    </w:p>
    <w:p w14:paraId="3B68668E" w14:textId="1A9DC2B0" w:rsidR="001C2058" w:rsidRDefault="001C2058" w:rsidP="00332C32">
      <w:pPr>
        <w:pStyle w:val="ListParagraph"/>
        <w:numPr>
          <w:ilvl w:val="0"/>
          <w:numId w:val="1"/>
        </w:numPr>
        <w:rPr>
          <w:b/>
          <w:bCs/>
          <w:color w:val="FF0000"/>
        </w:rPr>
      </w:pPr>
      <w:r>
        <w:rPr>
          <w:b/>
          <w:bCs/>
          <w:color w:val="FF0000"/>
        </w:rPr>
        <w:t xml:space="preserve">Forwards by Condon </w:t>
      </w:r>
      <w:r>
        <w:rPr>
          <w:b/>
          <w:bCs/>
        </w:rPr>
        <w:t>by Adolphs</w:t>
      </w:r>
    </w:p>
    <w:p w14:paraId="35CC6EF8" w14:textId="19CBD2F3" w:rsidR="00332C32" w:rsidRPr="00DF79BB" w:rsidRDefault="00332C32" w:rsidP="00332C32">
      <w:pPr>
        <w:pStyle w:val="ListParagraph"/>
        <w:numPr>
          <w:ilvl w:val="0"/>
          <w:numId w:val="1"/>
        </w:numPr>
        <w:rPr>
          <w:b/>
          <w:bCs/>
          <w:color w:val="FF0000"/>
        </w:rPr>
      </w:pPr>
      <w:r w:rsidRPr="00DF79BB">
        <w:rPr>
          <w:b/>
          <w:bCs/>
          <w:color w:val="FF0000"/>
        </w:rPr>
        <w:t>Purpose of this paper</w:t>
      </w:r>
    </w:p>
    <w:p w14:paraId="7AB8E83D" w14:textId="30A96C55" w:rsidR="00833DDF" w:rsidRPr="006E70D6" w:rsidRDefault="00FC1846" w:rsidP="00833DDF">
      <w:pPr>
        <w:pStyle w:val="ListParagraph"/>
        <w:numPr>
          <w:ilvl w:val="0"/>
          <w:numId w:val="1"/>
        </w:numPr>
        <w:rPr>
          <w:b/>
          <w:bCs/>
          <w:color w:val="FF0000"/>
        </w:rPr>
      </w:pPr>
      <w:r w:rsidRPr="006E70D6">
        <w:rPr>
          <w:b/>
          <w:bCs/>
          <w:color w:val="FF0000"/>
        </w:rPr>
        <w:t>Definitions, Concepts and Scope:</w:t>
      </w:r>
      <w:r w:rsidR="00833DDF" w:rsidRPr="006E70D6">
        <w:rPr>
          <w:b/>
          <w:bCs/>
          <w:color w:val="FF0000"/>
        </w:rPr>
        <w:t xml:space="preserve"> </w:t>
      </w:r>
    </w:p>
    <w:p w14:paraId="320B9111" w14:textId="52A40DF9" w:rsidR="00833DDF" w:rsidRPr="006E70D6" w:rsidRDefault="00833DDF" w:rsidP="00833DDF">
      <w:pPr>
        <w:pStyle w:val="ListParagraph"/>
        <w:numPr>
          <w:ilvl w:val="1"/>
          <w:numId w:val="1"/>
        </w:numPr>
        <w:rPr>
          <w:b/>
          <w:bCs/>
          <w:color w:val="FF0000"/>
        </w:rPr>
      </w:pPr>
      <w:r w:rsidRPr="006E70D6">
        <w:rPr>
          <w:b/>
          <w:bCs/>
          <w:color w:val="FF0000"/>
        </w:rPr>
        <w:t>Adsorbate</w:t>
      </w:r>
    </w:p>
    <w:p w14:paraId="00C906F5" w14:textId="77777777" w:rsidR="00833DDF" w:rsidRPr="006E70D6" w:rsidRDefault="00833DDF" w:rsidP="00833DDF">
      <w:pPr>
        <w:pStyle w:val="ListParagraph"/>
        <w:numPr>
          <w:ilvl w:val="2"/>
          <w:numId w:val="1"/>
        </w:numPr>
        <w:rPr>
          <w:b/>
          <w:bCs/>
          <w:color w:val="FF0000"/>
        </w:rPr>
      </w:pPr>
      <w:r w:rsidRPr="006E70D6">
        <w:rPr>
          <w:b/>
          <w:bCs/>
          <w:color w:val="FF0000"/>
        </w:rPr>
        <w:t>Part of System</w:t>
      </w:r>
    </w:p>
    <w:p w14:paraId="3B1C86F2" w14:textId="77777777" w:rsidR="00833DDF" w:rsidRPr="006E70D6" w:rsidRDefault="00833DDF" w:rsidP="00833DDF">
      <w:pPr>
        <w:pStyle w:val="ListParagraph"/>
        <w:numPr>
          <w:ilvl w:val="1"/>
          <w:numId w:val="1"/>
        </w:numPr>
        <w:rPr>
          <w:b/>
          <w:bCs/>
          <w:color w:val="FF0000"/>
        </w:rPr>
      </w:pPr>
      <w:r w:rsidRPr="006E70D6">
        <w:rPr>
          <w:b/>
          <w:bCs/>
          <w:color w:val="FF0000"/>
        </w:rPr>
        <w:t>Adsorbent</w:t>
      </w:r>
    </w:p>
    <w:p w14:paraId="5071D69E" w14:textId="77777777" w:rsidR="00833DDF" w:rsidRPr="006E70D6" w:rsidRDefault="00833DDF" w:rsidP="00833DDF">
      <w:pPr>
        <w:pStyle w:val="ListParagraph"/>
        <w:numPr>
          <w:ilvl w:val="2"/>
          <w:numId w:val="1"/>
        </w:numPr>
        <w:rPr>
          <w:b/>
          <w:bCs/>
          <w:color w:val="FF0000"/>
        </w:rPr>
      </w:pPr>
      <w:r w:rsidRPr="006E70D6">
        <w:rPr>
          <w:b/>
          <w:bCs/>
          <w:color w:val="FF0000"/>
        </w:rPr>
        <w:t>Part of System</w:t>
      </w:r>
    </w:p>
    <w:p w14:paraId="3A43557F" w14:textId="77777777" w:rsidR="00833DDF" w:rsidRPr="006E70D6" w:rsidRDefault="00833DDF" w:rsidP="00833DDF">
      <w:pPr>
        <w:pStyle w:val="ListParagraph"/>
        <w:numPr>
          <w:ilvl w:val="1"/>
          <w:numId w:val="1"/>
        </w:numPr>
        <w:rPr>
          <w:b/>
          <w:bCs/>
          <w:color w:val="FF0000"/>
        </w:rPr>
      </w:pPr>
      <w:r w:rsidRPr="006E70D6">
        <w:rPr>
          <w:b/>
          <w:bCs/>
          <w:color w:val="FF0000"/>
        </w:rPr>
        <w:t>Adsorptive</w:t>
      </w:r>
    </w:p>
    <w:p w14:paraId="4433CAC5" w14:textId="77777777" w:rsidR="00833DDF" w:rsidRPr="006E70D6" w:rsidRDefault="00833DDF" w:rsidP="00833DDF">
      <w:pPr>
        <w:pStyle w:val="ListParagraph"/>
        <w:numPr>
          <w:ilvl w:val="2"/>
          <w:numId w:val="1"/>
        </w:numPr>
        <w:rPr>
          <w:b/>
          <w:bCs/>
          <w:color w:val="FF0000"/>
        </w:rPr>
      </w:pPr>
      <w:r w:rsidRPr="006E70D6">
        <w:rPr>
          <w:b/>
          <w:bCs/>
          <w:color w:val="FF0000"/>
        </w:rPr>
        <w:t>The Surroundings</w:t>
      </w:r>
    </w:p>
    <w:p w14:paraId="11F6B50C" w14:textId="77777777" w:rsidR="00833DDF" w:rsidRPr="006E70D6" w:rsidRDefault="00833DDF" w:rsidP="00833DDF">
      <w:pPr>
        <w:pStyle w:val="ListParagraph"/>
        <w:numPr>
          <w:ilvl w:val="1"/>
          <w:numId w:val="1"/>
        </w:numPr>
        <w:rPr>
          <w:b/>
          <w:bCs/>
          <w:color w:val="FF0000"/>
        </w:rPr>
      </w:pPr>
      <w:r w:rsidRPr="006E70D6">
        <w:rPr>
          <w:b/>
          <w:bCs/>
          <w:color w:val="FF0000"/>
        </w:rPr>
        <w:t>Difference between Chemisorption and Physisorption</w:t>
      </w:r>
    </w:p>
    <w:p w14:paraId="408C39CB" w14:textId="77777777" w:rsidR="00833DDF" w:rsidRPr="006E70D6" w:rsidRDefault="00833DDF" w:rsidP="00833DDF">
      <w:pPr>
        <w:pStyle w:val="ListParagraph"/>
        <w:numPr>
          <w:ilvl w:val="2"/>
          <w:numId w:val="1"/>
        </w:numPr>
        <w:rPr>
          <w:b/>
          <w:bCs/>
          <w:color w:val="FF0000"/>
        </w:rPr>
      </w:pPr>
      <w:r w:rsidRPr="006E70D6">
        <w:rPr>
          <w:b/>
          <w:bCs/>
          <w:color w:val="FF0000"/>
        </w:rPr>
        <w:t>Definition of physical forces versus chemical reaction</w:t>
      </w:r>
    </w:p>
    <w:p w14:paraId="5E91EF92" w14:textId="77777777" w:rsidR="00833DDF" w:rsidRPr="006E70D6" w:rsidRDefault="00833DDF" w:rsidP="00833DDF">
      <w:pPr>
        <w:pStyle w:val="ListParagraph"/>
        <w:numPr>
          <w:ilvl w:val="2"/>
          <w:numId w:val="1"/>
        </w:numPr>
        <w:rPr>
          <w:b/>
          <w:bCs/>
          <w:color w:val="FF0000"/>
        </w:rPr>
      </w:pPr>
      <w:r w:rsidRPr="006E70D6">
        <w:rPr>
          <w:b/>
          <w:bCs/>
          <w:color w:val="FF0000"/>
        </w:rPr>
        <w:t>Bases of electron topology</w:t>
      </w:r>
    </w:p>
    <w:p w14:paraId="1FA0912D" w14:textId="47BAF730" w:rsidR="00833DDF" w:rsidRPr="006E70D6" w:rsidRDefault="00833DDF" w:rsidP="00833DDF">
      <w:pPr>
        <w:pStyle w:val="ListParagraph"/>
        <w:numPr>
          <w:ilvl w:val="0"/>
          <w:numId w:val="1"/>
        </w:numPr>
        <w:rPr>
          <w:b/>
          <w:bCs/>
          <w:color w:val="FF0000"/>
        </w:rPr>
      </w:pPr>
      <w:r w:rsidRPr="006E70D6">
        <w:rPr>
          <w:b/>
          <w:bCs/>
          <w:color w:val="FF0000"/>
        </w:rPr>
        <w:t>Defined conditions considered in this report</w:t>
      </w:r>
    </w:p>
    <w:p w14:paraId="6DEE3CB8" w14:textId="77777777" w:rsidR="00833DDF" w:rsidRPr="006E70D6" w:rsidRDefault="00833DDF" w:rsidP="00833DDF">
      <w:pPr>
        <w:pStyle w:val="ListParagraph"/>
        <w:numPr>
          <w:ilvl w:val="1"/>
          <w:numId w:val="1"/>
        </w:numPr>
        <w:rPr>
          <w:b/>
          <w:bCs/>
          <w:color w:val="FF0000"/>
        </w:rPr>
      </w:pPr>
      <w:r w:rsidRPr="006E70D6">
        <w:rPr>
          <w:b/>
          <w:bCs/>
          <w:color w:val="FF0000"/>
        </w:rPr>
        <w:t>Temperature range</w:t>
      </w:r>
    </w:p>
    <w:p w14:paraId="679C42B9" w14:textId="77777777" w:rsidR="00833DDF" w:rsidRPr="006E70D6" w:rsidRDefault="00833DDF" w:rsidP="00833DDF">
      <w:pPr>
        <w:pStyle w:val="ListParagraph"/>
        <w:numPr>
          <w:ilvl w:val="2"/>
          <w:numId w:val="1"/>
        </w:numPr>
        <w:rPr>
          <w:b/>
          <w:bCs/>
          <w:color w:val="FF0000"/>
        </w:rPr>
      </w:pPr>
      <w:r w:rsidRPr="006E70D6">
        <w:rPr>
          <w:b/>
          <w:bCs/>
          <w:color w:val="FF0000"/>
        </w:rPr>
        <w:t>Below critical point</w:t>
      </w:r>
    </w:p>
    <w:p w14:paraId="70B891FD" w14:textId="77777777" w:rsidR="00833DDF" w:rsidRPr="006E70D6" w:rsidRDefault="00833DDF" w:rsidP="00833DDF">
      <w:pPr>
        <w:pStyle w:val="ListParagraph"/>
        <w:numPr>
          <w:ilvl w:val="2"/>
          <w:numId w:val="1"/>
        </w:numPr>
        <w:rPr>
          <w:b/>
          <w:bCs/>
          <w:color w:val="FF0000"/>
        </w:rPr>
      </w:pPr>
      <w:r w:rsidRPr="006E70D6">
        <w:rPr>
          <w:b/>
          <w:bCs/>
          <w:color w:val="FF0000"/>
        </w:rPr>
        <w:t>Above freezing point</w:t>
      </w:r>
    </w:p>
    <w:p w14:paraId="73C58E7E" w14:textId="77777777" w:rsidR="00833DDF" w:rsidRPr="006E70D6" w:rsidRDefault="00833DDF" w:rsidP="00833DDF">
      <w:pPr>
        <w:pStyle w:val="ListParagraph"/>
        <w:numPr>
          <w:ilvl w:val="1"/>
          <w:numId w:val="1"/>
        </w:numPr>
        <w:rPr>
          <w:b/>
          <w:bCs/>
          <w:color w:val="FF0000"/>
        </w:rPr>
      </w:pPr>
      <w:r w:rsidRPr="006E70D6">
        <w:rPr>
          <w:b/>
          <w:bCs/>
          <w:color w:val="FF0000"/>
        </w:rPr>
        <w:t>Adsorbent conditions</w:t>
      </w:r>
    </w:p>
    <w:p w14:paraId="7CF87413" w14:textId="77777777" w:rsidR="00833DDF" w:rsidRPr="006E70D6" w:rsidRDefault="00833DDF" w:rsidP="00833DDF">
      <w:pPr>
        <w:pStyle w:val="ListParagraph"/>
        <w:numPr>
          <w:ilvl w:val="2"/>
          <w:numId w:val="1"/>
        </w:numPr>
        <w:rPr>
          <w:b/>
          <w:bCs/>
          <w:color w:val="FF0000"/>
        </w:rPr>
      </w:pPr>
      <w:r w:rsidRPr="006E70D6">
        <w:rPr>
          <w:b/>
          <w:bCs/>
          <w:color w:val="FF0000"/>
        </w:rPr>
        <w:t>First understand homogenous, non-porous</w:t>
      </w:r>
    </w:p>
    <w:p w14:paraId="628A0A4A" w14:textId="77777777" w:rsidR="00833DDF" w:rsidRPr="006E70D6" w:rsidRDefault="00833DDF" w:rsidP="00833DDF">
      <w:pPr>
        <w:pStyle w:val="ListParagraph"/>
        <w:numPr>
          <w:ilvl w:val="2"/>
          <w:numId w:val="1"/>
        </w:numPr>
        <w:rPr>
          <w:b/>
          <w:bCs/>
          <w:color w:val="FF0000"/>
        </w:rPr>
      </w:pPr>
      <w:r w:rsidRPr="006E70D6">
        <w:rPr>
          <w:b/>
          <w:bCs/>
          <w:color w:val="FF0000"/>
        </w:rPr>
        <w:t>Later add</w:t>
      </w:r>
    </w:p>
    <w:p w14:paraId="64B9AFCB" w14:textId="77777777" w:rsidR="00833DDF" w:rsidRPr="006E70D6" w:rsidRDefault="00833DDF" w:rsidP="00833DDF">
      <w:pPr>
        <w:pStyle w:val="ListParagraph"/>
        <w:numPr>
          <w:ilvl w:val="3"/>
          <w:numId w:val="1"/>
        </w:numPr>
        <w:rPr>
          <w:b/>
          <w:bCs/>
          <w:color w:val="FF0000"/>
        </w:rPr>
      </w:pPr>
      <w:r w:rsidRPr="006E70D6">
        <w:rPr>
          <w:b/>
          <w:bCs/>
          <w:color w:val="FF0000"/>
        </w:rPr>
        <w:t>heterogeneity</w:t>
      </w:r>
    </w:p>
    <w:p w14:paraId="2C8017AC" w14:textId="635C5921" w:rsidR="00CD62B9" w:rsidRDefault="00833DDF" w:rsidP="00CD62B9">
      <w:pPr>
        <w:pStyle w:val="ListParagraph"/>
        <w:numPr>
          <w:ilvl w:val="3"/>
          <w:numId w:val="1"/>
        </w:numPr>
        <w:rPr>
          <w:b/>
          <w:bCs/>
          <w:color w:val="FF0000"/>
        </w:rPr>
      </w:pPr>
      <w:r w:rsidRPr="006E70D6">
        <w:rPr>
          <w:b/>
          <w:bCs/>
          <w:color w:val="FF0000"/>
        </w:rPr>
        <w:t>microporosity and mesoporosity</w:t>
      </w:r>
    </w:p>
    <w:p w14:paraId="2D04D64D" w14:textId="5A84A73F" w:rsidR="00CD62B9" w:rsidRDefault="00CD62B9" w:rsidP="00CD62B9">
      <w:pPr>
        <w:pStyle w:val="ListParagraph"/>
        <w:numPr>
          <w:ilvl w:val="0"/>
          <w:numId w:val="1"/>
        </w:numPr>
        <w:rPr>
          <w:b/>
          <w:bCs/>
          <w:color w:val="FF0000"/>
        </w:rPr>
      </w:pPr>
      <w:r>
        <w:rPr>
          <w:b/>
          <w:bCs/>
          <w:color w:val="FF0000"/>
        </w:rPr>
        <w:t xml:space="preserve">A short History of </w:t>
      </w:r>
      <w:r w:rsidRPr="00CD62B9">
        <w:rPr>
          <w:b/>
          <w:bCs/>
          <w:color w:val="FF0000"/>
        </w:rPr>
        <w:t>traditional physical adsorption theory analysis</w:t>
      </w:r>
    </w:p>
    <w:p w14:paraId="72B7213E" w14:textId="12EC660A" w:rsidR="00CD62B9" w:rsidRDefault="00CD62B9" w:rsidP="00CD62B9">
      <w:pPr>
        <w:pStyle w:val="ListParagraph"/>
        <w:numPr>
          <w:ilvl w:val="1"/>
          <w:numId w:val="1"/>
        </w:numPr>
        <w:rPr>
          <w:b/>
          <w:bCs/>
          <w:color w:val="FF0000"/>
        </w:rPr>
      </w:pPr>
      <w:r>
        <w:rPr>
          <w:b/>
          <w:bCs/>
          <w:color w:val="FF0000"/>
        </w:rPr>
        <w:t>Typing of isotherm for analysis</w:t>
      </w:r>
    </w:p>
    <w:p w14:paraId="0A71915B" w14:textId="522577FF" w:rsidR="00CD62B9" w:rsidRDefault="00CD62B9" w:rsidP="00CD62B9">
      <w:pPr>
        <w:pStyle w:val="ListParagraph"/>
        <w:numPr>
          <w:ilvl w:val="1"/>
          <w:numId w:val="1"/>
        </w:numPr>
        <w:rPr>
          <w:b/>
          <w:bCs/>
          <w:color w:val="FF0000"/>
        </w:rPr>
      </w:pPr>
      <w:r>
        <w:rPr>
          <w:b/>
          <w:bCs/>
          <w:color w:val="FF0000"/>
        </w:rPr>
        <w:t>The analogy of the BET to the Langmuir as a guide.</w:t>
      </w:r>
    </w:p>
    <w:p w14:paraId="0442A29F" w14:textId="30766559" w:rsidR="00CD62B9" w:rsidRDefault="00CD62B9" w:rsidP="00CD62B9">
      <w:pPr>
        <w:pStyle w:val="ListParagraph"/>
        <w:numPr>
          <w:ilvl w:val="1"/>
          <w:numId w:val="1"/>
        </w:numPr>
        <w:rPr>
          <w:b/>
          <w:bCs/>
          <w:color w:val="FF0000"/>
        </w:rPr>
      </w:pPr>
      <w:r>
        <w:rPr>
          <w:b/>
          <w:bCs/>
          <w:color w:val="FF0000"/>
        </w:rPr>
        <w:t>The early restrictions</w:t>
      </w:r>
    </w:p>
    <w:p w14:paraId="00B7C311" w14:textId="43A6FF5A" w:rsidR="00CD62B9" w:rsidRDefault="00CD62B9" w:rsidP="00CD62B9">
      <w:pPr>
        <w:pStyle w:val="ListParagraph"/>
        <w:numPr>
          <w:ilvl w:val="1"/>
          <w:numId w:val="1"/>
        </w:numPr>
        <w:rPr>
          <w:b/>
          <w:bCs/>
          <w:color w:val="FF0000"/>
        </w:rPr>
      </w:pPr>
      <w:r>
        <w:rPr>
          <w:b/>
          <w:bCs/>
          <w:color w:val="FF0000"/>
        </w:rPr>
        <w:t>Later restriction</w:t>
      </w:r>
      <w:r w:rsidR="005520AD">
        <w:rPr>
          <w:b/>
          <w:bCs/>
          <w:color w:val="FF0000"/>
        </w:rPr>
        <w:t>s</w:t>
      </w:r>
    </w:p>
    <w:p w14:paraId="630BF6B3" w14:textId="0411380A" w:rsidR="00CD62B9" w:rsidRPr="005520AD" w:rsidRDefault="00CD62B9" w:rsidP="005520AD">
      <w:pPr>
        <w:pStyle w:val="ListParagraph"/>
        <w:numPr>
          <w:ilvl w:val="2"/>
          <w:numId w:val="1"/>
        </w:numPr>
        <w:rPr>
          <w:b/>
          <w:bCs/>
          <w:color w:val="FF0000"/>
        </w:rPr>
      </w:pPr>
      <w:r>
        <w:rPr>
          <w:b/>
          <w:bCs/>
          <w:color w:val="FF0000"/>
        </w:rPr>
        <w:t xml:space="preserve">The restriction for a </w:t>
      </w:r>
      <w:proofErr w:type="gramStart"/>
      <w:r>
        <w:rPr>
          <w:b/>
          <w:bCs/>
          <w:color w:val="FF0000"/>
        </w:rPr>
        <w:t>max{</w:t>
      </w:r>
      <w:proofErr w:type="gramEnd"/>
      <w:r w:rsidRPr="005520AD">
        <w:rPr>
          <w:i/>
          <w:iCs/>
          <w:color w:val="FF0000"/>
        </w:rPr>
        <w:t>n</w:t>
      </w:r>
      <w:r w:rsidRPr="005520AD">
        <w:rPr>
          <w:color w:val="FF0000"/>
          <w:vertAlign w:val="subscript"/>
        </w:rPr>
        <w:t>ads</w:t>
      </w:r>
      <w:r w:rsidRPr="005520AD">
        <w:rPr>
          <w:color w:val="FF0000"/>
        </w:rPr>
        <w:t xml:space="preserve">(1 - </w:t>
      </w:r>
      <w:r w:rsidRPr="005520AD">
        <w:rPr>
          <w:i/>
          <w:iCs/>
          <w:color w:val="FF0000"/>
        </w:rPr>
        <w:t>P</w:t>
      </w:r>
      <w:r w:rsidRPr="005520AD">
        <w:rPr>
          <w:color w:val="FF0000"/>
        </w:rPr>
        <w:t>/</w:t>
      </w:r>
      <w:r w:rsidRPr="005520AD">
        <w:rPr>
          <w:i/>
          <w:iCs/>
          <w:color w:val="FF0000"/>
        </w:rPr>
        <w:t>P</w:t>
      </w:r>
      <w:r w:rsidRPr="005520AD">
        <w:rPr>
          <w:color w:val="FF0000"/>
          <w:vertAlign w:val="subscript"/>
        </w:rPr>
        <w:t>vap</w:t>
      </w:r>
      <w:r w:rsidRPr="005520AD">
        <w:rPr>
          <w:color w:val="FF0000"/>
        </w:rPr>
        <w:t>)}</w:t>
      </w:r>
    </w:p>
    <w:p w14:paraId="6FD2D0A8" w14:textId="6A55F070" w:rsidR="005520AD" w:rsidRDefault="005520AD" w:rsidP="00CD62B9">
      <w:pPr>
        <w:pStyle w:val="ListParagraph"/>
        <w:numPr>
          <w:ilvl w:val="1"/>
          <w:numId w:val="1"/>
        </w:numPr>
        <w:rPr>
          <w:b/>
          <w:bCs/>
          <w:color w:val="FF0000"/>
        </w:rPr>
      </w:pPr>
      <w:r>
        <w:rPr>
          <w:b/>
          <w:bCs/>
          <w:color w:val="FF0000"/>
        </w:rPr>
        <w:t>The problem that the Langmuir criterion was mathematically impossible</w:t>
      </w:r>
    </w:p>
    <w:p w14:paraId="5C12E5C6" w14:textId="5DAFFDC3" w:rsidR="005520AD" w:rsidRDefault="005520AD" w:rsidP="005520AD">
      <w:pPr>
        <w:pStyle w:val="ListParagraph"/>
        <w:numPr>
          <w:ilvl w:val="2"/>
          <w:numId w:val="1"/>
        </w:numPr>
        <w:rPr>
          <w:b/>
          <w:bCs/>
          <w:color w:val="FF0000"/>
        </w:rPr>
      </w:pPr>
      <w:r>
        <w:rPr>
          <w:b/>
          <w:bCs/>
          <w:color w:val="FF0000"/>
        </w:rPr>
        <w:t>And the impossible “B” point comparison</w:t>
      </w:r>
    </w:p>
    <w:p w14:paraId="040BE323" w14:textId="1CAA02E5" w:rsidR="005520AD" w:rsidRDefault="005520AD" w:rsidP="005520AD">
      <w:pPr>
        <w:pStyle w:val="ListParagraph"/>
        <w:numPr>
          <w:ilvl w:val="2"/>
          <w:numId w:val="1"/>
        </w:numPr>
        <w:rPr>
          <w:b/>
          <w:bCs/>
          <w:color w:val="FF0000"/>
        </w:rPr>
      </w:pPr>
      <w:r>
        <w:rPr>
          <w:b/>
          <w:bCs/>
          <w:color w:val="FF0000"/>
        </w:rPr>
        <w:t>The “C” point problem and imaginary energy</w:t>
      </w:r>
    </w:p>
    <w:p w14:paraId="7B355BDB" w14:textId="21965604" w:rsidR="005520AD" w:rsidRPr="00CD62B9" w:rsidRDefault="005520AD" w:rsidP="005520AD">
      <w:pPr>
        <w:pStyle w:val="ListParagraph"/>
        <w:numPr>
          <w:ilvl w:val="1"/>
          <w:numId w:val="1"/>
        </w:numPr>
        <w:rPr>
          <w:b/>
          <w:bCs/>
          <w:color w:val="FF0000"/>
        </w:rPr>
      </w:pPr>
      <w:r>
        <w:rPr>
          <w:b/>
          <w:bCs/>
          <w:color w:val="FF0000"/>
        </w:rPr>
        <w:t>The IUPAC restriction on naming pore sizes.</w:t>
      </w:r>
    </w:p>
    <w:p w14:paraId="7EBA21AD" w14:textId="7F697859" w:rsidR="000B281C" w:rsidRPr="001C2058" w:rsidRDefault="00FC1846" w:rsidP="00833DDF">
      <w:pPr>
        <w:pStyle w:val="ListParagraph"/>
        <w:numPr>
          <w:ilvl w:val="0"/>
          <w:numId w:val="1"/>
        </w:numPr>
        <w:rPr>
          <w:b/>
          <w:bCs/>
          <w:color w:val="FF0000"/>
        </w:rPr>
      </w:pPr>
      <w:bookmarkStart w:id="0" w:name="_Hlk141974729"/>
      <w:r w:rsidRPr="001C2058">
        <w:rPr>
          <w:b/>
          <w:bCs/>
          <w:color w:val="FF0000"/>
        </w:rPr>
        <w:t>Need to abandon</w:t>
      </w:r>
      <w:r w:rsidR="00415296" w:rsidRPr="001C2058">
        <w:rPr>
          <w:b/>
          <w:bCs/>
          <w:color w:val="FF0000"/>
        </w:rPr>
        <w:t xml:space="preserve"> the</w:t>
      </w:r>
      <w:r w:rsidRPr="001C2058">
        <w:rPr>
          <w:b/>
          <w:bCs/>
          <w:color w:val="FF0000"/>
        </w:rPr>
        <w:t xml:space="preserve"> </w:t>
      </w:r>
      <w:r w:rsidR="00415296" w:rsidRPr="001C2058">
        <w:rPr>
          <w:b/>
          <w:bCs/>
          <w:color w:val="FF0000"/>
        </w:rPr>
        <w:t>BET</w:t>
      </w:r>
      <w:r w:rsidRPr="001C2058">
        <w:rPr>
          <w:b/>
          <w:bCs/>
          <w:color w:val="FF0000"/>
        </w:rPr>
        <w:t>,</w:t>
      </w:r>
      <w:r w:rsidR="00415296" w:rsidRPr="001C2058">
        <w:rPr>
          <w:b/>
          <w:bCs/>
          <w:color w:val="FF0000"/>
        </w:rPr>
        <w:t xml:space="preserve"> Langmuir isotherm and </w:t>
      </w:r>
      <w:r w:rsidRPr="001C2058">
        <w:rPr>
          <w:b/>
          <w:bCs/>
          <w:color w:val="FF0000"/>
        </w:rPr>
        <w:t xml:space="preserve">their </w:t>
      </w:r>
      <w:r w:rsidR="00415296" w:rsidRPr="001C2058">
        <w:rPr>
          <w:b/>
          <w:bCs/>
          <w:color w:val="FF0000"/>
        </w:rPr>
        <w:t>derivatives.</w:t>
      </w:r>
    </w:p>
    <w:p w14:paraId="2320032B" w14:textId="41F738C9" w:rsidR="00833DDF" w:rsidRPr="001C2058" w:rsidRDefault="00833DDF" w:rsidP="00833DDF">
      <w:pPr>
        <w:pStyle w:val="ListParagraph"/>
        <w:numPr>
          <w:ilvl w:val="1"/>
          <w:numId w:val="1"/>
        </w:numPr>
        <w:rPr>
          <w:b/>
          <w:bCs/>
          <w:color w:val="FF0000"/>
        </w:rPr>
      </w:pPr>
      <w:r w:rsidRPr="001C2058">
        <w:rPr>
          <w:b/>
          <w:bCs/>
          <w:color w:val="FF0000"/>
        </w:rPr>
        <w:t>History and staying power of the BET</w:t>
      </w:r>
    </w:p>
    <w:p w14:paraId="34E403B2" w14:textId="0B143D05" w:rsidR="00A654DF" w:rsidRPr="001C2058" w:rsidRDefault="00A654DF" w:rsidP="00A654DF">
      <w:pPr>
        <w:pStyle w:val="ListParagraph"/>
        <w:numPr>
          <w:ilvl w:val="2"/>
          <w:numId w:val="1"/>
        </w:numPr>
        <w:rPr>
          <w:b/>
          <w:bCs/>
          <w:color w:val="FF0000"/>
        </w:rPr>
      </w:pPr>
      <w:r w:rsidRPr="001C2058">
        <w:rPr>
          <w:b/>
          <w:bCs/>
          <w:color w:val="FF0000"/>
        </w:rPr>
        <w:t>The development of BET and its consequences</w:t>
      </w:r>
    </w:p>
    <w:p w14:paraId="7B1C8573" w14:textId="291518F4" w:rsidR="00A654DF" w:rsidRPr="001C2058" w:rsidRDefault="00A654DF" w:rsidP="00A654DF">
      <w:pPr>
        <w:pStyle w:val="ListParagraph"/>
        <w:numPr>
          <w:ilvl w:val="2"/>
          <w:numId w:val="1"/>
        </w:numPr>
        <w:rPr>
          <w:b/>
          <w:bCs/>
          <w:color w:val="FF0000"/>
        </w:rPr>
      </w:pPr>
      <w:r w:rsidRPr="001C2058">
        <w:rPr>
          <w:b/>
          <w:bCs/>
          <w:color w:val="FF0000"/>
        </w:rPr>
        <w:t>The trials of those who were not true believers</w:t>
      </w:r>
    </w:p>
    <w:p w14:paraId="7BB4B6BD" w14:textId="102D3C70" w:rsidR="00A654DF" w:rsidRPr="001C2058" w:rsidRDefault="00A654DF" w:rsidP="00A654DF">
      <w:pPr>
        <w:pStyle w:val="ListParagraph"/>
        <w:numPr>
          <w:ilvl w:val="3"/>
          <w:numId w:val="1"/>
        </w:numPr>
        <w:rPr>
          <w:b/>
          <w:bCs/>
          <w:color w:val="FF0000"/>
        </w:rPr>
      </w:pPr>
      <w:r w:rsidRPr="001C2058">
        <w:rPr>
          <w:b/>
          <w:bCs/>
          <w:color w:val="FF0000"/>
        </w:rPr>
        <w:t>Polanyi, DeBoer, Fuller and others.</w:t>
      </w:r>
    </w:p>
    <w:p w14:paraId="73B09DB6" w14:textId="7FB5B3A2" w:rsidR="00833DDF" w:rsidRPr="001C2058" w:rsidRDefault="00833DDF" w:rsidP="00833DDF">
      <w:pPr>
        <w:pStyle w:val="ListParagraph"/>
        <w:numPr>
          <w:ilvl w:val="1"/>
          <w:numId w:val="1"/>
        </w:numPr>
        <w:rPr>
          <w:b/>
          <w:bCs/>
          <w:color w:val="FF0000"/>
        </w:rPr>
      </w:pPr>
      <w:r w:rsidRPr="001C2058">
        <w:rPr>
          <w:b/>
          <w:bCs/>
          <w:color w:val="FF0000"/>
        </w:rPr>
        <w:t>Definition of “Henry’s Law” isotherms.</w:t>
      </w:r>
    </w:p>
    <w:p w14:paraId="2DB82F9C" w14:textId="0642B077" w:rsidR="00FC1846" w:rsidRPr="001C2058" w:rsidRDefault="00FC1846" w:rsidP="00833DDF">
      <w:pPr>
        <w:pStyle w:val="ListParagraph"/>
        <w:numPr>
          <w:ilvl w:val="1"/>
          <w:numId w:val="1"/>
        </w:numPr>
        <w:rPr>
          <w:b/>
          <w:bCs/>
          <w:color w:val="FF0000"/>
        </w:rPr>
      </w:pPr>
      <w:r w:rsidRPr="001C2058">
        <w:rPr>
          <w:b/>
          <w:bCs/>
          <w:color w:val="FF0000"/>
        </w:rPr>
        <w:t>Achillies he</w:t>
      </w:r>
      <w:r w:rsidR="00833DDF" w:rsidRPr="001C2058">
        <w:rPr>
          <w:b/>
          <w:bCs/>
          <w:color w:val="FF0000"/>
        </w:rPr>
        <w:t>e</w:t>
      </w:r>
      <w:r w:rsidRPr="001C2058">
        <w:rPr>
          <w:b/>
          <w:bCs/>
          <w:color w:val="FF0000"/>
        </w:rPr>
        <w:t>l –</w:t>
      </w:r>
      <w:r w:rsidR="006E70D6" w:rsidRPr="001C2058">
        <w:rPr>
          <w:b/>
          <w:bCs/>
          <w:color w:val="FF0000"/>
        </w:rPr>
        <w:t xml:space="preserve"> observation of</w:t>
      </w:r>
      <w:r w:rsidRPr="001C2058">
        <w:rPr>
          <w:b/>
          <w:bCs/>
          <w:color w:val="FF0000"/>
        </w:rPr>
        <w:t xml:space="preserve"> the threshold pressure</w:t>
      </w:r>
    </w:p>
    <w:p w14:paraId="5FFE5F27" w14:textId="622746EC" w:rsidR="00FC1846" w:rsidRPr="001C2058" w:rsidRDefault="00FC1846" w:rsidP="00833DDF">
      <w:pPr>
        <w:pStyle w:val="ListParagraph"/>
        <w:numPr>
          <w:ilvl w:val="1"/>
          <w:numId w:val="1"/>
        </w:numPr>
        <w:rPr>
          <w:b/>
          <w:bCs/>
          <w:color w:val="FF0000"/>
        </w:rPr>
      </w:pPr>
      <w:r w:rsidRPr="001C2058">
        <w:rPr>
          <w:b/>
          <w:bCs/>
          <w:color w:val="FF0000"/>
        </w:rPr>
        <w:t>Examples and QED</w:t>
      </w:r>
    </w:p>
    <w:p w14:paraId="166B0AA2" w14:textId="77777777" w:rsidR="00314F68" w:rsidRPr="00E0005E" w:rsidRDefault="00314F68" w:rsidP="00314F68">
      <w:pPr>
        <w:pStyle w:val="ListParagraph"/>
        <w:numPr>
          <w:ilvl w:val="0"/>
          <w:numId w:val="1"/>
        </w:numPr>
        <w:rPr>
          <w:b/>
          <w:bCs/>
          <w:color w:val="FF0000"/>
        </w:rPr>
      </w:pPr>
      <w:r w:rsidRPr="00E0005E">
        <w:rPr>
          <w:b/>
          <w:bCs/>
          <w:color w:val="FF0000"/>
        </w:rPr>
        <w:t>Experimental precautions</w:t>
      </w:r>
    </w:p>
    <w:p w14:paraId="2383AC10" w14:textId="77777777" w:rsidR="00314F68" w:rsidRPr="00E0005E" w:rsidRDefault="00314F68" w:rsidP="00314F68">
      <w:pPr>
        <w:pStyle w:val="ListParagraph"/>
        <w:numPr>
          <w:ilvl w:val="1"/>
          <w:numId w:val="1"/>
        </w:numPr>
        <w:rPr>
          <w:b/>
          <w:bCs/>
          <w:color w:val="FF0000"/>
        </w:rPr>
      </w:pPr>
      <w:r w:rsidRPr="00E0005E">
        <w:rPr>
          <w:b/>
          <w:bCs/>
          <w:color w:val="FF0000"/>
        </w:rPr>
        <w:t>Temperature measurement and control</w:t>
      </w:r>
    </w:p>
    <w:p w14:paraId="0D6CB908" w14:textId="77777777" w:rsidR="00314F68" w:rsidRPr="00E0005E" w:rsidRDefault="00314F68" w:rsidP="00314F68">
      <w:pPr>
        <w:pStyle w:val="ListParagraph"/>
        <w:numPr>
          <w:ilvl w:val="2"/>
          <w:numId w:val="1"/>
        </w:numPr>
        <w:rPr>
          <w:b/>
          <w:bCs/>
          <w:color w:val="FF0000"/>
        </w:rPr>
      </w:pPr>
      <w:r w:rsidRPr="00E0005E">
        <w:rPr>
          <w:b/>
          <w:bCs/>
          <w:color w:val="FF0000"/>
        </w:rPr>
        <w:lastRenderedPageBreak/>
        <w:t>Baffling</w:t>
      </w:r>
    </w:p>
    <w:p w14:paraId="1F032BDE" w14:textId="77777777" w:rsidR="00314F68" w:rsidRPr="00E0005E" w:rsidRDefault="00314F68" w:rsidP="00314F68">
      <w:pPr>
        <w:pStyle w:val="ListParagraph"/>
        <w:numPr>
          <w:ilvl w:val="2"/>
          <w:numId w:val="1"/>
        </w:numPr>
        <w:rPr>
          <w:b/>
          <w:bCs/>
          <w:color w:val="FF0000"/>
        </w:rPr>
      </w:pPr>
      <w:r w:rsidRPr="00E0005E">
        <w:rPr>
          <w:b/>
          <w:bCs/>
          <w:color w:val="FF0000"/>
        </w:rPr>
        <w:t>Wrapping</w:t>
      </w:r>
    </w:p>
    <w:p w14:paraId="57B6B3D2" w14:textId="77777777" w:rsidR="00314F68" w:rsidRPr="00E0005E" w:rsidRDefault="00314F68" w:rsidP="00314F68">
      <w:pPr>
        <w:pStyle w:val="ListParagraph"/>
        <w:numPr>
          <w:ilvl w:val="2"/>
          <w:numId w:val="1"/>
        </w:numPr>
        <w:rPr>
          <w:b/>
          <w:bCs/>
          <w:color w:val="FF0000"/>
        </w:rPr>
      </w:pPr>
      <w:r w:rsidRPr="00E0005E">
        <w:rPr>
          <w:b/>
          <w:bCs/>
          <w:color w:val="FF0000"/>
        </w:rPr>
        <w:t xml:space="preserve">For cryogenic </w:t>
      </w:r>
    </w:p>
    <w:p w14:paraId="171D66C5" w14:textId="77777777" w:rsidR="00314F68" w:rsidRPr="00E0005E" w:rsidRDefault="00314F68" w:rsidP="00314F68">
      <w:pPr>
        <w:pStyle w:val="ListParagraph"/>
        <w:numPr>
          <w:ilvl w:val="1"/>
          <w:numId w:val="1"/>
        </w:numPr>
        <w:rPr>
          <w:b/>
          <w:bCs/>
          <w:color w:val="FF0000"/>
        </w:rPr>
      </w:pPr>
      <w:r w:rsidRPr="00E0005E">
        <w:rPr>
          <w:b/>
          <w:bCs/>
          <w:color w:val="FF0000"/>
        </w:rPr>
        <w:t>Low pressure requirement HV or UHV – why?</w:t>
      </w:r>
    </w:p>
    <w:p w14:paraId="5DFC411F" w14:textId="77777777" w:rsidR="00314F68" w:rsidRPr="00E0005E" w:rsidRDefault="00314F68" w:rsidP="00314F68">
      <w:pPr>
        <w:pStyle w:val="ListParagraph"/>
        <w:numPr>
          <w:ilvl w:val="2"/>
          <w:numId w:val="1"/>
        </w:numPr>
        <w:rPr>
          <w:b/>
          <w:bCs/>
          <w:color w:val="FF0000"/>
        </w:rPr>
      </w:pPr>
      <w:r w:rsidRPr="00E0005E">
        <w:rPr>
          <w:b/>
          <w:bCs/>
          <w:color w:val="FF0000"/>
        </w:rPr>
        <w:t>Threshold measurement</w:t>
      </w:r>
    </w:p>
    <w:p w14:paraId="315B2CE3" w14:textId="77777777" w:rsidR="00314F68" w:rsidRPr="00E0005E" w:rsidRDefault="00314F68" w:rsidP="00314F68">
      <w:pPr>
        <w:pStyle w:val="ListParagraph"/>
        <w:numPr>
          <w:ilvl w:val="2"/>
          <w:numId w:val="1"/>
        </w:numPr>
        <w:rPr>
          <w:b/>
          <w:bCs/>
          <w:color w:val="FF0000"/>
        </w:rPr>
      </w:pPr>
      <w:r w:rsidRPr="00E0005E">
        <w:rPr>
          <w:b/>
          <w:bCs/>
          <w:color w:val="FF0000"/>
        </w:rPr>
        <w:t>Law determination</w:t>
      </w:r>
    </w:p>
    <w:p w14:paraId="11D5C627" w14:textId="77777777" w:rsidR="00314F68" w:rsidRPr="00E0005E" w:rsidRDefault="00314F68" w:rsidP="00314F68">
      <w:pPr>
        <w:pStyle w:val="ListParagraph"/>
        <w:numPr>
          <w:ilvl w:val="1"/>
          <w:numId w:val="1"/>
        </w:numPr>
        <w:rPr>
          <w:b/>
          <w:bCs/>
          <w:color w:val="FF0000"/>
        </w:rPr>
      </w:pPr>
      <w:r w:rsidRPr="00E0005E">
        <w:rPr>
          <w:b/>
          <w:bCs/>
          <w:color w:val="FF0000"/>
        </w:rPr>
        <w:t>Knudsen correction solutions:</w:t>
      </w:r>
    </w:p>
    <w:p w14:paraId="511F76CC" w14:textId="77777777" w:rsidR="00314F68" w:rsidRPr="00E0005E" w:rsidRDefault="00314F68" w:rsidP="00314F68">
      <w:pPr>
        <w:pStyle w:val="ListParagraph"/>
        <w:numPr>
          <w:ilvl w:val="2"/>
          <w:numId w:val="1"/>
        </w:numPr>
        <w:rPr>
          <w:b/>
          <w:bCs/>
          <w:color w:val="FF0000"/>
        </w:rPr>
      </w:pPr>
      <w:r w:rsidRPr="00E0005E">
        <w:rPr>
          <w:b/>
          <w:bCs/>
          <w:color w:val="FF0000"/>
        </w:rPr>
        <w:t>Large tubing</w:t>
      </w:r>
    </w:p>
    <w:p w14:paraId="3F1D4587" w14:textId="77777777" w:rsidR="00314F68" w:rsidRPr="00E0005E" w:rsidRDefault="00314F68" w:rsidP="00314F68">
      <w:pPr>
        <w:pStyle w:val="ListParagraph"/>
        <w:numPr>
          <w:ilvl w:val="2"/>
          <w:numId w:val="1"/>
        </w:numPr>
        <w:rPr>
          <w:b/>
          <w:bCs/>
          <w:color w:val="FF0000"/>
        </w:rPr>
      </w:pPr>
      <w:r w:rsidRPr="00E0005E">
        <w:rPr>
          <w:b/>
          <w:bCs/>
          <w:color w:val="FF0000"/>
        </w:rPr>
        <w:t>Individual tubing calibration</w:t>
      </w:r>
    </w:p>
    <w:p w14:paraId="61012894" w14:textId="77777777" w:rsidR="00314F68" w:rsidRPr="00E0005E" w:rsidRDefault="00314F68" w:rsidP="00314F68">
      <w:pPr>
        <w:pStyle w:val="ListParagraph"/>
        <w:numPr>
          <w:ilvl w:val="1"/>
          <w:numId w:val="1"/>
        </w:numPr>
        <w:rPr>
          <w:b/>
          <w:bCs/>
          <w:color w:val="FF0000"/>
        </w:rPr>
      </w:pPr>
      <w:r w:rsidRPr="00E0005E">
        <w:rPr>
          <w:b/>
          <w:bCs/>
          <w:color w:val="FF0000"/>
        </w:rPr>
        <w:t>Outgassing of dead space or buoyancy calibration</w:t>
      </w:r>
    </w:p>
    <w:p w14:paraId="047E9C1F" w14:textId="77777777" w:rsidR="00314F68" w:rsidRPr="00E0005E" w:rsidRDefault="00314F68" w:rsidP="00314F68">
      <w:pPr>
        <w:pStyle w:val="ListParagraph"/>
        <w:numPr>
          <w:ilvl w:val="2"/>
          <w:numId w:val="1"/>
        </w:numPr>
        <w:rPr>
          <w:b/>
          <w:bCs/>
          <w:color w:val="FF0000"/>
        </w:rPr>
      </w:pPr>
      <w:r w:rsidRPr="00E0005E">
        <w:rPr>
          <w:b/>
          <w:bCs/>
          <w:color w:val="FF0000"/>
        </w:rPr>
        <w:t>High temperature outgassing</w:t>
      </w:r>
    </w:p>
    <w:p w14:paraId="08380963" w14:textId="77777777" w:rsidR="00314F68" w:rsidRPr="00E0005E" w:rsidRDefault="00314F68" w:rsidP="00314F68">
      <w:pPr>
        <w:pStyle w:val="ListParagraph"/>
        <w:numPr>
          <w:ilvl w:val="2"/>
          <w:numId w:val="1"/>
        </w:numPr>
        <w:rPr>
          <w:b/>
          <w:bCs/>
          <w:color w:val="FF0000"/>
        </w:rPr>
      </w:pPr>
      <w:r w:rsidRPr="00E0005E">
        <w:rPr>
          <w:b/>
          <w:bCs/>
          <w:color w:val="FF0000"/>
        </w:rPr>
        <w:t>Calibrate after measurement</w:t>
      </w:r>
    </w:p>
    <w:p w14:paraId="0640660C" w14:textId="6666EE1F" w:rsidR="00A654DF" w:rsidRPr="00241566" w:rsidRDefault="00314F68" w:rsidP="00A654DF">
      <w:pPr>
        <w:pStyle w:val="ListParagraph"/>
        <w:numPr>
          <w:ilvl w:val="2"/>
          <w:numId w:val="1"/>
        </w:numPr>
        <w:rPr>
          <w:b/>
          <w:bCs/>
          <w:color w:val="FF0000"/>
        </w:rPr>
      </w:pPr>
      <w:r w:rsidRPr="00E0005E">
        <w:rPr>
          <w:b/>
          <w:bCs/>
          <w:color w:val="FF0000"/>
        </w:rPr>
        <w:t>Repeating the isotherm (3 times recommended)</w:t>
      </w:r>
    </w:p>
    <w:p w14:paraId="70063EA5" w14:textId="2AC1B57C" w:rsidR="00F96BB5" w:rsidRPr="00241566" w:rsidRDefault="00A654DF" w:rsidP="00833DDF">
      <w:pPr>
        <w:pStyle w:val="ListParagraph"/>
        <w:numPr>
          <w:ilvl w:val="0"/>
          <w:numId w:val="1"/>
        </w:numPr>
        <w:rPr>
          <w:b/>
          <w:bCs/>
          <w:color w:val="FF0000"/>
        </w:rPr>
      </w:pPr>
      <w:bookmarkStart w:id="1" w:name="_Hlk142472319"/>
      <w:bookmarkEnd w:id="0"/>
      <w:r w:rsidRPr="00241566">
        <w:rPr>
          <w:b/>
          <w:bCs/>
          <w:color w:val="FF0000"/>
        </w:rPr>
        <w:t>M</w:t>
      </w:r>
      <w:r w:rsidR="00415296" w:rsidRPr="00241566">
        <w:rPr>
          <w:b/>
          <w:bCs/>
          <w:color w:val="FF0000"/>
        </w:rPr>
        <w:t xml:space="preserve">odern theoretical developments </w:t>
      </w:r>
      <w:r w:rsidRPr="00241566">
        <w:rPr>
          <w:b/>
          <w:bCs/>
          <w:color w:val="FF0000"/>
        </w:rPr>
        <w:t>for</w:t>
      </w:r>
      <w:r w:rsidR="00415296" w:rsidRPr="00241566">
        <w:rPr>
          <w:b/>
          <w:bCs/>
          <w:color w:val="FF0000"/>
        </w:rPr>
        <w:t xml:space="preserve"> replace</w:t>
      </w:r>
      <w:r w:rsidRPr="00241566">
        <w:rPr>
          <w:b/>
          <w:bCs/>
          <w:color w:val="FF0000"/>
        </w:rPr>
        <w:t>ments</w:t>
      </w:r>
    </w:p>
    <w:bookmarkEnd w:id="1"/>
    <w:p w14:paraId="0ACC3D3A" w14:textId="14DCF322" w:rsidR="00F96BB5" w:rsidRPr="00241566" w:rsidRDefault="00F96BB5" w:rsidP="00A654DF">
      <w:pPr>
        <w:pStyle w:val="ListParagraph"/>
        <w:numPr>
          <w:ilvl w:val="1"/>
          <w:numId w:val="1"/>
        </w:numPr>
        <w:rPr>
          <w:b/>
          <w:bCs/>
          <w:color w:val="FF0000"/>
        </w:rPr>
      </w:pPr>
      <w:r w:rsidRPr="00241566">
        <w:rPr>
          <w:b/>
          <w:bCs/>
          <w:color w:val="FF0000"/>
        </w:rPr>
        <w:t>Are consisten</w:t>
      </w:r>
      <w:r w:rsidR="00A654DF" w:rsidRPr="00241566">
        <w:rPr>
          <w:b/>
          <w:bCs/>
          <w:color w:val="FF0000"/>
        </w:rPr>
        <w:t>cy</w:t>
      </w:r>
      <w:r w:rsidRPr="00241566">
        <w:rPr>
          <w:b/>
          <w:bCs/>
          <w:color w:val="FF0000"/>
        </w:rPr>
        <w:t xml:space="preserve"> with modern physics </w:t>
      </w:r>
    </w:p>
    <w:p w14:paraId="672EAE93" w14:textId="7137383A" w:rsidR="00F96BB5" w:rsidRPr="00241566" w:rsidRDefault="00A654DF" w:rsidP="00A654DF">
      <w:pPr>
        <w:pStyle w:val="ListParagraph"/>
        <w:numPr>
          <w:ilvl w:val="1"/>
          <w:numId w:val="1"/>
        </w:numPr>
        <w:rPr>
          <w:b/>
          <w:bCs/>
          <w:color w:val="FF0000"/>
        </w:rPr>
      </w:pPr>
      <w:r w:rsidRPr="00241566">
        <w:rPr>
          <w:b/>
          <w:bCs/>
          <w:color w:val="FF0000"/>
        </w:rPr>
        <w:t>Have</w:t>
      </w:r>
      <w:r w:rsidR="00F96BB5" w:rsidRPr="00241566">
        <w:rPr>
          <w:b/>
          <w:bCs/>
          <w:color w:val="FF0000"/>
        </w:rPr>
        <w:t xml:space="preserve"> </w:t>
      </w:r>
      <w:r w:rsidRPr="00241566">
        <w:rPr>
          <w:b/>
          <w:bCs/>
          <w:color w:val="FF0000"/>
        </w:rPr>
        <w:t xml:space="preserve">a </w:t>
      </w:r>
      <w:r w:rsidR="00F96BB5" w:rsidRPr="00241566">
        <w:rPr>
          <w:b/>
          <w:bCs/>
          <w:color w:val="FF0000"/>
        </w:rPr>
        <w:t>simple framework of modern physics</w:t>
      </w:r>
    </w:p>
    <w:p w14:paraId="1A509B6C" w14:textId="5728D205" w:rsidR="00A654DF" w:rsidRPr="00241566" w:rsidRDefault="00A654DF" w:rsidP="00A654DF">
      <w:pPr>
        <w:pStyle w:val="ListParagraph"/>
        <w:numPr>
          <w:ilvl w:val="2"/>
          <w:numId w:val="1"/>
        </w:numPr>
        <w:rPr>
          <w:b/>
          <w:bCs/>
          <w:color w:val="FF0000"/>
        </w:rPr>
      </w:pPr>
      <w:r w:rsidRPr="00241566">
        <w:rPr>
          <w:b/>
          <w:bCs/>
          <w:color w:val="FF0000"/>
        </w:rPr>
        <w:t>Quantum Mechanics and Grand Canonical Partition Function</w:t>
      </w:r>
    </w:p>
    <w:p w14:paraId="37BDD019" w14:textId="40A022B0" w:rsidR="009B491C" w:rsidRPr="00241566" w:rsidRDefault="009B491C" w:rsidP="009B491C">
      <w:pPr>
        <w:pStyle w:val="ListParagraph"/>
        <w:numPr>
          <w:ilvl w:val="3"/>
          <w:numId w:val="1"/>
        </w:numPr>
        <w:rPr>
          <w:b/>
          <w:bCs/>
          <w:color w:val="FF0000"/>
        </w:rPr>
      </w:pPr>
      <w:r w:rsidRPr="00241566">
        <w:rPr>
          <w:b/>
          <w:bCs/>
          <w:color w:val="FF0000"/>
        </w:rPr>
        <w:t>Validity for large molecules</w:t>
      </w:r>
    </w:p>
    <w:p w14:paraId="371C7096" w14:textId="1E668AE6" w:rsidR="00A654DF" w:rsidRDefault="00A654DF" w:rsidP="00A654DF">
      <w:pPr>
        <w:pStyle w:val="ListParagraph"/>
        <w:numPr>
          <w:ilvl w:val="2"/>
          <w:numId w:val="1"/>
        </w:numPr>
        <w:rPr>
          <w:b/>
          <w:bCs/>
        </w:rPr>
      </w:pPr>
      <w:r>
        <w:rPr>
          <w:b/>
          <w:bCs/>
        </w:rPr>
        <w:t>Fluid Dynamics and Thermodynamics</w:t>
      </w:r>
    </w:p>
    <w:p w14:paraId="07C571BE" w14:textId="12A0450A" w:rsidR="00A654DF" w:rsidRDefault="00A654DF" w:rsidP="00A654DF">
      <w:pPr>
        <w:pStyle w:val="ListParagraph"/>
        <w:numPr>
          <w:ilvl w:val="2"/>
          <w:numId w:val="1"/>
        </w:numPr>
        <w:rPr>
          <w:b/>
          <w:bCs/>
        </w:rPr>
      </w:pPr>
      <w:r>
        <w:rPr>
          <w:b/>
          <w:bCs/>
        </w:rPr>
        <w:t>Other interesting input</w:t>
      </w:r>
      <w:r w:rsidR="00241566">
        <w:rPr>
          <w:b/>
          <w:bCs/>
        </w:rPr>
        <w:t>s</w:t>
      </w:r>
      <w:r>
        <w:rPr>
          <w:b/>
          <w:bCs/>
        </w:rPr>
        <w:t xml:space="preserve"> from Dubinin and Fuller</w:t>
      </w:r>
    </w:p>
    <w:p w14:paraId="5EF1404B" w14:textId="00D0DCDC" w:rsidR="00F96BB5" w:rsidRPr="00241566" w:rsidRDefault="00F96BB5" w:rsidP="00A654DF">
      <w:pPr>
        <w:pStyle w:val="ListParagraph"/>
        <w:numPr>
          <w:ilvl w:val="1"/>
          <w:numId w:val="1"/>
        </w:numPr>
        <w:rPr>
          <w:b/>
          <w:bCs/>
          <w:color w:val="FF0000"/>
        </w:rPr>
      </w:pPr>
      <w:r w:rsidRPr="00241566">
        <w:rPr>
          <w:b/>
          <w:bCs/>
          <w:color w:val="FF0000"/>
        </w:rPr>
        <w:t>Yields results that are easy to interpret</w:t>
      </w:r>
    </w:p>
    <w:p w14:paraId="20AE71DB" w14:textId="4576FBFB" w:rsidR="00A654DF" w:rsidRPr="00241566" w:rsidRDefault="00A654DF" w:rsidP="00A654DF">
      <w:pPr>
        <w:pStyle w:val="ListParagraph"/>
        <w:numPr>
          <w:ilvl w:val="1"/>
          <w:numId w:val="1"/>
        </w:numPr>
        <w:rPr>
          <w:b/>
          <w:bCs/>
          <w:color w:val="FF0000"/>
        </w:rPr>
      </w:pPr>
      <w:r w:rsidRPr="00241566">
        <w:rPr>
          <w:b/>
          <w:bCs/>
          <w:color w:val="FF0000"/>
        </w:rPr>
        <w:t>Yields results that allow simple explanation of other features</w:t>
      </w:r>
    </w:p>
    <w:p w14:paraId="5EF0F462" w14:textId="77777777" w:rsidR="00415CDF" w:rsidRPr="00241566" w:rsidRDefault="00332C32" w:rsidP="00332C32">
      <w:pPr>
        <w:pStyle w:val="ListParagraph"/>
        <w:numPr>
          <w:ilvl w:val="0"/>
          <w:numId w:val="1"/>
        </w:numPr>
        <w:rPr>
          <w:b/>
          <w:bCs/>
          <w:color w:val="FF0000"/>
        </w:rPr>
      </w:pPr>
      <w:r w:rsidRPr="00241566">
        <w:rPr>
          <w:b/>
          <w:bCs/>
          <w:color w:val="FF0000"/>
        </w:rPr>
        <w:t xml:space="preserve">Derivation of the quantum mechanical hypothesis </w:t>
      </w:r>
      <w:r w:rsidR="00112677" w:rsidRPr="00241566">
        <w:rPr>
          <w:b/>
          <w:bCs/>
          <w:color w:val="FF0000"/>
        </w:rPr>
        <w:t xml:space="preserve">or </w:t>
      </w:r>
      <w:r w:rsidRPr="00241566">
        <w:rPr>
          <w:rFonts w:cs="Times New Roman"/>
          <w:b/>
          <w:bCs/>
          <w:color w:val="FF0000"/>
        </w:rPr>
        <w:t>χ</w:t>
      </w:r>
      <w:r w:rsidRPr="00241566">
        <w:rPr>
          <w:b/>
          <w:bCs/>
          <w:color w:val="FF0000"/>
        </w:rPr>
        <w:t>-</w:t>
      </w:r>
      <w:r w:rsidR="00112677" w:rsidRPr="00241566">
        <w:rPr>
          <w:b/>
          <w:bCs/>
          <w:color w:val="FF0000"/>
        </w:rPr>
        <w:t>hypothesis</w:t>
      </w:r>
    </w:p>
    <w:p w14:paraId="706671C4" w14:textId="4ADABD20" w:rsidR="0096241B" w:rsidRPr="00241566" w:rsidRDefault="00415CDF" w:rsidP="009F345B">
      <w:pPr>
        <w:pStyle w:val="ListParagraph"/>
        <w:numPr>
          <w:ilvl w:val="1"/>
          <w:numId w:val="1"/>
        </w:numPr>
        <w:rPr>
          <w:b/>
          <w:bCs/>
          <w:color w:val="FF0000"/>
        </w:rPr>
      </w:pPr>
      <w:r w:rsidRPr="00241566">
        <w:rPr>
          <w:b/>
          <w:bCs/>
          <w:color w:val="FF0000"/>
        </w:rPr>
        <w:t>Three reference states</w:t>
      </w:r>
      <w:r w:rsidR="00112677" w:rsidRPr="00241566">
        <w:rPr>
          <w:b/>
          <w:bCs/>
          <w:color w:val="FF0000"/>
        </w:rPr>
        <w:t xml:space="preserve"> </w:t>
      </w:r>
    </w:p>
    <w:p w14:paraId="79DC466E" w14:textId="388F1F84" w:rsidR="009F345B" w:rsidRPr="00241566" w:rsidRDefault="009F345B" w:rsidP="009F345B">
      <w:pPr>
        <w:pStyle w:val="ListParagraph"/>
        <w:numPr>
          <w:ilvl w:val="2"/>
          <w:numId w:val="1"/>
        </w:numPr>
        <w:rPr>
          <w:b/>
          <w:bCs/>
          <w:color w:val="FF0000"/>
        </w:rPr>
      </w:pPr>
      <w:r w:rsidRPr="00241566">
        <w:rPr>
          <w:b/>
          <w:bCs/>
          <w:color w:val="FF0000"/>
        </w:rPr>
        <w:t>To box bottom</w:t>
      </w:r>
    </w:p>
    <w:p w14:paraId="7D991AAB" w14:textId="1BEBD8C8" w:rsidR="009F345B" w:rsidRPr="00241566" w:rsidRDefault="009F345B" w:rsidP="009F345B">
      <w:pPr>
        <w:pStyle w:val="ListParagraph"/>
        <w:numPr>
          <w:ilvl w:val="2"/>
          <w:numId w:val="1"/>
        </w:numPr>
        <w:rPr>
          <w:b/>
          <w:bCs/>
          <w:color w:val="FF0000"/>
        </w:rPr>
      </w:pPr>
      <w:r w:rsidRPr="00241566">
        <w:rPr>
          <w:b/>
          <w:bCs/>
          <w:color w:val="FF0000"/>
        </w:rPr>
        <w:t>To 1 bar – for calorimetry</w:t>
      </w:r>
    </w:p>
    <w:p w14:paraId="0EC19FB5" w14:textId="17ECBD2C" w:rsidR="00D34A56" w:rsidRPr="00241566" w:rsidRDefault="009F345B" w:rsidP="00D34A56">
      <w:pPr>
        <w:pStyle w:val="ListParagraph"/>
        <w:numPr>
          <w:ilvl w:val="2"/>
          <w:numId w:val="1"/>
        </w:numPr>
        <w:rPr>
          <w:b/>
          <w:bCs/>
          <w:color w:val="FF0000"/>
        </w:rPr>
      </w:pPr>
      <w:r w:rsidRPr="00241566">
        <w:rPr>
          <w:b/>
          <w:bCs/>
          <w:color w:val="FF0000"/>
        </w:rPr>
        <w:t xml:space="preserve">To </w:t>
      </w:r>
      <w:r w:rsidRPr="00241566">
        <w:rPr>
          <w:b/>
          <w:bCs/>
          <w:i/>
          <w:iCs/>
          <w:color w:val="FF0000"/>
        </w:rPr>
        <w:t>P</w:t>
      </w:r>
      <w:r w:rsidRPr="00241566">
        <w:rPr>
          <w:b/>
          <w:bCs/>
          <w:color w:val="FF0000"/>
          <w:vertAlign w:val="subscript"/>
        </w:rPr>
        <w:t>vap</w:t>
      </w:r>
      <w:r w:rsidRPr="00241566">
        <w:rPr>
          <w:b/>
          <w:bCs/>
          <w:color w:val="FF0000"/>
        </w:rPr>
        <w:t xml:space="preserve"> – for isotherm display</w:t>
      </w:r>
    </w:p>
    <w:p w14:paraId="35188E37" w14:textId="77777777" w:rsidR="00D34A56" w:rsidRPr="00241566" w:rsidRDefault="00D34A56" w:rsidP="00D34A56">
      <w:pPr>
        <w:pStyle w:val="ListParagraph"/>
        <w:numPr>
          <w:ilvl w:val="1"/>
          <w:numId w:val="1"/>
        </w:numPr>
        <w:rPr>
          <w:b/>
          <w:bCs/>
          <w:color w:val="FF0000"/>
        </w:rPr>
      </w:pPr>
      <w:r w:rsidRPr="00241566">
        <w:rPr>
          <w:b/>
          <w:bCs/>
          <w:color w:val="FF0000"/>
        </w:rPr>
        <w:t>Perturbation theory</w:t>
      </w:r>
    </w:p>
    <w:p w14:paraId="0A1494F2" w14:textId="77777777" w:rsidR="00D34A56" w:rsidRPr="00241566" w:rsidRDefault="00D34A56" w:rsidP="00D34A56">
      <w:pPr>
        <w:pStyle w:val="ListParagraph"/>
        <w:numPr>
          <w:ilvl w:val="2"/>
          <w:numId w:val="1"/>
        </w:numPr>
        <w:rPr>
          <w:b/>
          <w:bCs/>
          <w:color w:val="FF0000"/>
        </w:rPr>
      </w:pPr>
      <w:r w:rsidRPr="00241566">
        <w:rPr>
          <w:b/>
          <w:bCs/>
          <w:color w:val="FF0000"/>
        </w:rPr>
        <w:t>|</w:t>
      </w:r>
      <w:r w:rsidRPr="00241566">
        <w:rPr>
          <w:b/>
          <w:bCs/>
          <w:i/>
          <w:iCs/>
          <w:color w:val="FF0000"/>
        </w:rPr>
        <w:t>E</w:t>
      </w:r>
      <w:r w:rsidRPr="00241566">
        <w:rPr>
          <w:b/>
          <w:bCs/>
          <w:color w:val="FF0000"/>
          <w:vertAlign w:val="subscript"/>
        </w:rPr>
        <w:t>a</w:t>
      </w:r>
      <w:r w:rsidRPr="00241566">
        <w:rPr>
          <w:b/>
          <w:bCs/>
          <w:color w:val="FF0000"/>
        </w:rPr>
        <w:t>| &gt; |</w:t>
      </w:r>
      <w:r w:rsidRPr="00241566">
        <w:rPr>
          <w:rFonts w:cs="Times New Roman"/>
          <w:b/>
          <w:bCs/>
          <w:color w:val="FF0000"/>
        </w:rPr>
        <w:t>ε</w:t>
      </w:r>
      <w:r w:rsidRPr="00241566">
        <w:rPr>
          <w:b/>
          <w:bCs/>
          <w:color w:val="FF0000"/>
        </w:rPr>
        <w:t>|</w:t>
      </w:r>
    </w:p>
    <w:p w14:paraId="52A2CDE5" w14:textId="77777777" w:rsidR="00D34A56" w:rsidRPr="00241566" w:rsidRDefault="00D34A56" w:rsidP="00D34A56">
      <w:pPr>
        <w:pStyle w:val="ListParagraph"/>
        <w:numPr>
          <w:ilvl w:val="2"/>
          <w:numId w:val="1"/>
        </w:numPr>
        <w:rPr>
          <w:b/>
          <w:bCs/>
          <w:color w:val="FF0000"/>
        </w:rPr>
      </w:pPr>
      <w:r w:rsidRPr="00241566">
        <w:rPr>
          <w:b/>
          <w:bCs/>
          <w:color w:val="FF0000"/>
        </w:rPr>
        <w:t>|</w:t>
      </w:r>
      <w:r w:rsidRPr="00241566">
        <w:rPr>
          <w:rFonts w:cs="Times New Roman"/>
          <w:b/>
          <w:bCs/>
          <w:color w:val="FF0000"/>
        </w:rPr>
        <w:t>ε</w:t>
      </w:r>
      <w:r w:rsidRPr="00241566">
        <w:rPr>
          <w:b/>
          <w:bCs/>
          <w:color w:val="FF0000"/>
        </w:rPr>
        <w:t>| &gt; |</w:t>
      </w:r>
      <w:r w:rsidRPr="00241566">
        <w:rPr>
          <w:b/>
          <w:bCs/>
          <w:i/>
          <w:iCs/>
          <w:color w:val="FF0000"/>
        </w:rPr>
        <w:t>E</w:t>
      </w:r>
      <w:r w:rsidRPr="00241566">
        <w:rPr>
          <w:b/>
          <w:bCs/>
          <w:color w:val="FF0000"/>
          <w:vertAlign w:val="subscript"/>
        </w:rPr>
        <w:t>a</w:t>
      </w:r>
      <w:r w:rsidRPr="00241566">
        <w:rPr>
          <w:b/>
          <w:bCs/>
          <w:color w:val="FF0000"/>
        </w:rPr>
        <w:t>|</w:t>
      </w:r>
    </w:p>
    <w:p w14:paraId="4AC1BD0E" w14:textId="77777777" w:rsidR="00D34A56" w:rsidRPr="00241566" w:rsidRDefault="00D34A56" w:rsidP="00D34A56">
      <w:pPr>
        <w:pStyle w:val="ListParagraph"/>
        <w:numPr>
          <w:ilvl w:val="2"/>
          <w:numId w:val="1"/>
        </w:numPr>
        <w:rPr>
          <w:b/>
          <w:bCs/>
          <w:color w:val="FF0000"/>
        </w:rPr>
      </w:pPr>
      <w:r w:rsidRPr="00241566">
        <w:rPr>
          <w:b/>
          <w:bCs/>
          <w:color w:val="FF0000"/>
        </w:rPr>
        <w:t>The derivation for |</w:t>
      </w:r>
      <w:r w:rsidRPr="00241566">
        <w:rPr>
          <w:b/>
          <w:bCs/>
          <w:i/>
          <w:iCs/>
          <w:color w:val="FF0000"/>
        </w:rPr>
        <w:t>E</w:t>
      </w:r>
      <w:r w:rsidRPr="00241566">
        <w:rPr>
          <w:b/>
          <w:bCs/>
          <w:color w:val="FF0000"/>
          <w:vertAlign w:val="subscript"/>
        </w:rPr>
        <w:t>a</w:t>
      </w:r>
      <w:r w:rsidRPr="00241566">
        <w:rPr>
          <w:b/>
          <w:bCs/>
          <w:color w:val="FF0000"/>
        </w:rPr>
        <w:t>| &gt; |</w:t>
      </w:r>
      <w:r w:rsidRPr="00241566">
        <w:rPr>
          <w:rFonts w:cs="Times New Roman"/>
          <w:b/>
          <w:bCs/>
          <w:color w:val="FF0000"/>
        </w:rPr>
        <w:t>ε</w:t>
      </w:r>
      <w:r w:rsidRPr="00241566">
        <w:rPr>
          <w:b/>
          <w:bCs/>
          <w:color w:val="FF0000"/>
        </w:rPr>
        <w:t>|</w:t>
      </w:r>
    </w:p>
    <w:p w14:paraId="7D5D11E1" w14:textId="0964972F" w:rsidR="00D34A56" w:rsidRPr="00241566" w:rsidRDefault="00D34A56" w:rsidP="00D34A56">
      <w:pPr>
        <w:pStyle w:val="ListParagraph"/>
        <w:numPr>
          <w:ilvl w:val="1"/>
          <w:numId w:val="1"/>
        </w:numPr>
        <w:rPr>
          <w:b/>
          <w:bCs/>
          <w:color w:val="FF0000"/>
        </w:rPr>
      </w:pPr>
      <w:r w:rsidRPr="00241566">
        <w:rPr>
          <w:b/>
          <w:bCs/>
          <w:color w:val="FF0000"/>
        </w:rPr>
        <w:t>Stage 1a particle in the box</w:t>
      </w:r>
    </w:p>
    <w:p w14:paraId="51BEB07B" w14:textId="06B0756A" w:rsidR="00D34A56" w:rsidRPr="00241566" w:rsidRDefault="00D34A56" w:rsidP="00D34A56">
      <w:pPr>
        <w:pStyle w:val="ListParagraph"/>
        <w:numPr>
          <w:ilvl w:val="2"/>
          <w:numId w:val="1"/>
        </w:numPr>
        <w:rPr>
          <w:b/>
          <w:bCs/>
          <w:color w:val="FF0000"/>
        </w:rPr>
      </w:pPr>
      <w:r w:rsidRPr="00241566">
        <w:rPr>
          <w:b/>
          <w:bCs/>
          <w:color w:val="FF0000"/>
        </w:rPr>
        <w:t>Reference state at the bottom of an infinite box</w:t>
      </w:r>
    </w:p>
    <w:p w14:paraId="02079119" w14:textId="6C489ADD" w:rsidR="00D34A56" w:rsidRPr="00241566" w:rsidRDefault="00D34A56" w:rsidP="00D34A56">
      <w:pPr>
        <w:pStyle w:val="ListParagraph"/>
        <w:numPr>
          <w:ilvl w:val="2"/>
          <w:numId w:val="1"/>
        </w:numPr>
        <w:rPr>
          <w:b/>
          <w:bCs/>
          <w:color w:val="FF0000"/>
        </w:rPr>
      </w:pPr>
      <w:r w:rsidRPr="00241566">
        <w:rPr>
          <w:b/>
          <w:bCs/>
          <w:color w:val="FF0000"/>
        </w:rPr>
        <w:t>Difference between an infinite box and a high wide box – big box approximation</w:t>
      </w:r>
    </w:p>
    <w:p w14:paraId="4F7F5621" w14:textId="2B3E6DF7" w:rsidR="00D34A56" w:rsidRPr="00241566" w:rsidRDefault="00D34A56" w:rsidP="00D34A56">
      <w:pPr>
        <w:pStyle w:val="ListParagraph"/>
        <w:numPr>
          <w:ilvl w:val="2"/>
          <w:numId w:val="1"/>
        </w:numPr>
        <w:rPr>
          <w:b/>
          <w:bCs/>
          <w:color w:val="FF0000"/>
        </w:rPr>
      </w:pPr>
      <w:r w:rsidRPr="00241566">
        <w:rPr>
          <w:b/>
          <w:bCs/>
          <w:color w:val="FF0000"/>
        </w:rPr>
        <w:t>The first molecule creating the first perturbation</w:t>
      </w:r>
    </w:p>
    <w:p w14:paraId="71A66FEA" w14:textId="1FAA2A0B" w:rsidR="00D34A56" w:rsidRPr="00241566" w:rsidRDefault="00D34A56" w:rsidP="00D34A56">
      <w:pPr>
        <w:pStyle w:val="ListParagraph"/>
        <w:numPr>
          <w:ilvl w:val="2"/>
          <w:numId w:val="1"/>
        </w:numPr>
        <w:rPr>
          <w:b/>
          <w:bCs/>
          <w:color w:val="FF0000"/>
        </w:rPr>
      </w:pPr>
      <w:r w:rsidRPr="00241566">
        <w:rPr>
          <w:b/>
          <w:bCs/>
          <w:color w:val="FF0000"/>
        </w:rPr>
        <w:t>The second molecule affected by the first molecule</w:t>
      </w:r>
    </w:p>
    <w:p w14:paraId="307E1AE6" w14:textId="298553B2" w:rsidR="00D34A56" w:rsidRPr="00241566" w:rsidRDefault="00D34A56" w:rsidP="00D34A56">
      <w:pPr>
        <w:pStyle w:val="ListParagraph"/>
        <w:numPr>
          <w:ilvl w:val="1"/>
          <w:numId w:val="1"/>
        </w:numPr>
        <w:rPr>
          <w:b/>
          <w:bCs/>
          <w:color w:val="FF0000"/>
        </w:rPr>
      </w:pPr>
      <w:r w:rsidRPr="00241566">
        <w:rPr>
          <w:b/>
          <w:bCs/>
          <w:color w:val="FF0000"/>
        </w:rPr>
        <w:t>Stage 1b more adsorbate molecule</w:t>
      </w:r>
      <w:r w:rsidR="00241566" w:rsidRPr="00241566">
        <w:rPr>
          <w:b/>
          <w:bCs/>
          <w:color w:val="FF0000"/>
        </w:rPr>
        <w:t>s</w:t>
      </w:r>
    </w:p>
    <w:p w14:paraId="1D6A66EF" w14:textId="0F31CC91" w:rsidR="00D34A56" w:rsidRPr="00241566" w:rsidRDefault="00D34A56" w:rsidP="00D34A56">
      <w:pPr>
        <w:pStyle w:val="ListParagraph"/>
        <w:numPr>
          <w:ilvl w:val="2"/>
          <w:numId w:val="1"/>
        </w:numPr>
        <w:rPr>
          <w:b/>
          <w:bCs/>
          <w:color w:val="FF0000"/>
        </w:rPr>
      </w:pPr>
      <w:r w:rsidRPr="00241566">
        <w:rPr>
          <w:b/>
          <w:bCs/>
          <w:color w:val="FF0000"/>
        </w:rPr>
        <w:t>The third molecule</w:t>
      </w:r>
    </w:p>
    <w:p w14:paraId="7B66ABC4" w14:textId="0B312499" w:rsidR="00D34A56" w:rsidRPr="00241566" w:rsidRDefault="00D34A56" w:rsidP="00D34A56">
      <w:pPr>
        <w:pStyle w:val="ListParagraph"/>
        <w:numPr>
          <w:ilvl w:val="2"/>
          <w:numId w:val="1"/>
        </w:numPr>
        <w:rPr>
          <w:b/>
          <w:bCs/>
          <w:color w:val="FF0000"/>
        </w:rPr>
      </w:pPr>
      <w:r w:rsidRPr="00241566">
        <w:rPr>
          <w:b/>
          <w:bCs/>
          <w:color w:val="FF0000"/>
        </w:rPr>
        <w:t>The Nth molecule</w:t>
      </w:r>
    </w:p>
    <w:p w14:paraId="2F12867C" w14:textId="1EF5A49E" w:rsidR="00D34A56" w:rsidRPr="00241566" w:rsidRDefault="00D34A56" w:rsidP="00D34A56">
      <w:pPr>
        <w:pStyle w:val="ListParagraph"/>
        <w:numPr>
          <w:ilvl w:val="1"/>
          <w:numId w:val="1"/>
        </w:numPr>
        <w:rPr>
          <w:b/>
          <w:bCs/>
          <w:color w:val="FF0000"/>
        </w:rPr>
      </w:pPr>
      <w:r w:rsidRPr="00241566">
        <w:rPr>
          <w:b/>
          <w:bCs/>
          <w:color w:val="FF0000"/>
        </w:rPr>
        <w:t>Stage 2 the energy with N molecules</w:t>
      </w:r>
    </w:p>
    <w:p w14:paraId="662BFDCA" w14:textId="4BEFD690" w:rsidR="00D34A56" w:rsidRPr="00241566" w:rsidRDefault="00D34A56" w:rsidP="00D34A56">
      <w:pPr>
        <w:pStyle w:val="ListParagraph"/>
        <w:numPr>
          <w:ilvl w:val="2"/>
          <w:numId w:val="1"/>
        </w:numPr>
        <w:rPr>
          <w:b/>
          <w:bCs/>
          <w:color w:val="FF0000"/>
        </w:rPr>
      </w:pPr>
      <w:r w:rsidRPr="00241566">
        <w:rPr>
          <w:b/>
          <w:bCs/>
          <w:color w:val="FF0000"/>
        </w:rPr>
        <w:t>The “controversial” approximation</w:t>
      </w:r>
    </w:p>
    <w:p w14:paraId="7088C81D" w14:textId="39D868FA" w:rsidR="0096241B" w:rsidRPr="00241566" w:rsidRDefault="0096241B" w:rsidP="0096241B">
      <w:pPr>
        <w:pStyle w:val="ListParagraph"/>
        <w:numPr>
          <w:ilvl w:val="1"/>
          <w:numId w:val="1"/>
        </w:numPr>
        <w:rPr>
          <w:b/>
          <w:bCs/>
          <w:color w:val="FF0000"/>
        </w:rPr>
      </w:pPr>
      <w:r w:rsidRPr="00241566">
        <w:rPr>
          <w:b/>
          <w:bCs/>
          <w:color w:val="FF0000"/>
        </w:rPr>
        <w:t>G</w:t>
      </w:r>
      <w:r w:rsidR="00D34A56" w:rsidRPr="00241566">
        <w:rPr>
          <w:b/>
          <w:bCs/>
          <w:color w:val="FF0000"/>
        </w:rPr>
        <w:t>rand Canonical Parti</w:t>
      </w:r>
      <w:r w:rsidR="004B523B" w:rsidRPr="00241566">
        <w:rPr>
          <w:b/>
          <w:bCs/>
          <w:color w:val="FF0000"/>
        </w:rPr>
        <w:t>tion Function, GCPF</w:t>
      </w:r>
    </w:p>
    <w:p w14:paraId="1B372402" w14:textId="42C74FFB" w:rsidR="004B523B" w:rsidRPr="00241566" w:rsidRDefault="004B523B" w:rsidP="004B523B">
      <w:pPr>
        <w:pStyle w:val="ListParagraph"/>
        <w:numPr>
          <w:ilvl w:val="2"/>
          <w:numId w:val="1"/>
        </w:numPr>
        <w:rPr>
          <w:b/>
          <w:bCs/>
          <w:color w:val="FF0000"/>
        </w:rPr>
      </w:pPr>
      <w:r w:rsidRPr="00241566">
        <w:rPr>
          <w:b/>
          <w:bCs/>
          <w:color w:val="FF0000"/>
        </w:rPr>
        <w:t>Take a note – what if the uncovered surface function?</w:t>
      </w:r>
    </w:p>
    <w:p w14:paraId="7F9AB150" w14:textId="387175C2" w:rsidR="004B523B" w:rsidRPr="00241566" w:rsidRDefault="004B523B" w:rsidP="004B523B">
      <w:pPr>
        <w:pStyle w:val="ListParagraph"/>
        <w:numPr>
          <w:ilvl w:val="2"/>
          <w:numId w:val="1"/>
        </w:numPr>
        <w:rPr>
          <w:b/>
          <w:bCs/>
          <w:color w:val="FF0000"/>
        </w:rPr>
      </w:pPr>
      <w:r w:rsidRPr="00241566">
        <w:rPr>
          <w:b/>
          <w:bCs/>
          <w:color w:val="FF0000"/>
        </w:rPr>
        <w:t>The final overall GCPF</w:t>
      </w:r>
    </w:p>
    <w:p w14:paraId="217684B2" w14:textId="13839181" w:rsidR="004B523B" w:rsidRPr="00241566" w:rsidRDefault="004B523B" w:rsidP="004B523B">
      <w:pPr>
        <w:pStyle w:val="ListParagraph"/>
        <w:numPr>
          <w:ilvl w:val="2"/>
          <w:numId w:val="1"/>
        </w:numPr>
        <w:rPr>
          <w:b/>
          <w:bCs/>
          <w:color w:val="FF0000"/>
        </w:rPr>
      </w:pPr>
      <w:r w:rsidRPr="00241566">
        <w:rPr>
          <w:b/>
          <w:bCs/>
          <w:color w:val="FF0000"/>
        </w:rPr>
        <w:t>The overall equation</w:t>
      </w:r>
    </w:p>
    <w:p w14:paraId="5ADC158D" w14:textId="4381E2BD" w:rsidR="004B523B" w:rsidRPr="00241566" w:rsidRDefault="004B523B" w:rsidP="004B523B">
      <w:pPr>
        <w:pStyle w:val="ListParagraph"/>
        <w:numPr>
          <w:ilvl w:val="2"/>
          <w:numId w:val="1"/>
        </w:numPr>
        <w:rPr>
          <w:b/>
          <w:bCs/>
          <w:color w:val="FF0000"/>
        </w:rPr>
      </w:pPr>
      <w:r w:rsidRPr="00241566">
        <w:rPr>
          <w:b/>
          <w:bCs/>
          <w:color w:val="FF0000"/>
        </w:rPr>
        <w:lastRenderedPageBreak/>
        <w:t>The “layered” equations.</w:t>
      </w:r>
    </w:p>
    <w:p w14:paraId="7DC89879" w14:textId="5A3A9F58" w:rsidR="00C202EF" w:rsidRPr="00241566" w:rsidRDefault="00F96BB5" w:rsidP="00C202EF">
      <w:pPr>
        <w:pStyle w:val="ListParagraph"/>
        <w:numPr>
          <w:ilvl w:val="1"/>
          <w:numId w:val="1"/>
        </w:numPr>
        <w:rPr>
          <w:b/>
          <w:bCs/>
          <w:color w:val="FF0000"/>
        </w:rPr>
      </w:pPr>
      <w:r w:rsidRPr="00241566">
        <w:rPr>
          <w:b/>
          <w:bCs/>
          <w:color w:val="FF0000"/>
        </w:rPr>
        <w:t xml:space="preserve">Simple interpretation - </w:t>
      </w:r>
      <w:r w:rsidR="00C202EF" w:rsidRPr="00241566">
        <w:rPr>
          <w:b/>
          <w:bCs/>
          <w:color w:val="FF0000"/>
        </w:rPr>
        <w:t xml:space="preserve">The classical meanings of </w:t>
      </w:r>
      <w:r w:rsidR="00C202EF" w:rsidRPr="00241566">
        <w:rPr>
          <w:rFonts w:cs="Times New Roman"/>
          <w:b/>
          <w:bCs/>
          <w:color w:val="FF0000"/>
        </w:rPr>
        <w:t>χ and Δχ</w:t>
      </w:r>
    </w:p>
    <w:p w14:paraId="7FD19C85" w14:textId="4A9FA92A" w:rsidR="004B523B" w:rsidRPr="00241566" w:rsidRDefault="004B523B" w:rsidP="004B523B">
      <w:pPr>
        <w:pStyle w:val="ListParagraph"/>
        <w:numPr>
          <w:ilvl w:val="2"/>
          <w:numId w:val="1"/>
        </w:numPr>
        <w:rPr>
          <w:b/>
          <w:bCs/>
          <w:color w:val="FF0000"/>
        </w:rPr>
      </w:pPr>
      <w:r w:rsidRPr="00241566">
        <w:rPr>
          <w:rFonts w:cs="Times New Roman"/>
          <w:b/>
          <w:bCs/>
          <w:color w:val="FF0000"/>
        </w:rPr>
        <w:t>χ meaning</w:t>
      </w:r>
    </w:p>
    <w:p w14:paraId="56D7706D" w14:textId="5DB402EA" w:rsidR="004B523B" w:rsidRPr="00241566" w:rsidRDefault="004B523B" w:rsidP="004B523B">
      <w:pPr>
        <w:pStyle w:val="ListParagraph"/>
        <w:numPr>
          <w:ilvl w:val="2"/>
          <w:numId w:val="1"/>
        </w:numPr>
        <w:rPr>
          <w:b/>
          <w:bCs/>
          <w:color w:val="FF0000"/>
        </w:rPr>
      </w:pPr>
      <w:r w:rsidRPr="00241566">
        <w:rPr>
          <w:rFonts w:cs="Times New Roman"/>
          <w:b/>
          <w:bCs/>
          <w:color w:val="FF0000"/>
        </w:rPr>
        <w:t>Δχ meaning</w:t>
      </w:r>
    </w:p>
    <w:p w14:paraId="0EB663C8" w14:textId="24C4B637" w:rsidR="004B523B" w:rsidRPr="00241566" w:rsidRDefault="004B523B" w:rsidP="004B523B">
      <w:pPr>
        <w:pStyle w:val="ListParagraph"/>
        <w:numPr>
          <w:ilvl w:val="2"/>
          <w:numId w:val="1"/>
        </w:numPr>
        <w:rPr>
          <w:b/>
          <w:bCs/>
          <w:color w:val="FF0000"/>
        </w:rPr>
      </w:pPr>
      <w:r w:rsidRPr="00241566">
        <w:rPr>
          <w:rFonts w:cs="Times New Roman"/>
          <w:b/>
          <w:bCs/>
          <w:color w:val="FF0000"/>
        </w:rPr>
        <w:t>The uses</w:t>
      </w:r>
    </w:p>
    <w:p w14:paraId="116C4FAC" w14:textId="5DF73984" w:rsidR="00332C32" w:rsidRDefault="00112677" w:rsidP="00332C32">
      <w:pPr>
        <w:pStyle w:val="ListParagraph"/>
        <w:numPr>
          <w:ilvl w:val="0"/>
          <w:numId w:val="1"/>
        </w:numPr>
        <w:rPr>
          <w:b/>
          <w:bCs/>
        </w:rPr>
      </w:pPr>
      <w:r>
        <w:rPr>
          <w:b/>
          <w:bCs/>
        </w:rPr>
        <w:t>Fuller’s ASP.</w:t>
      </w:r>
    </w:p>
    <w:p w14:paraId="0C626639" w14:textId="110BB6BA" w:rsidR="0096241B" w:rsidRDefault="0096241B" w:rsidP="0096241B">
      <w:pPr>
        <w:pStyle w:val="ListParagraph"/>
        <w:numPr>
          <w:ilvl w:val="1"/>
          <w:numId w:val="1"/>
        </w:numPr>
        <w:rPr>
          <w:b/>
          <w:bCs/>
        </w:rPr>
      </w:pPr>
      <w:r>
        <w:rPr>
          <w:b/>
          <w:bCs/>
        </w:rPr>
        <w:t>Polanyi’s method</w:t>
      </w:r>
    </w:p>
    <w:p w14:paraId="505BE8F6" w14:textId="62891D0B" w:rsidR="0096241B" w:rsidRDefault="0096241B" w:rsidP="0096241B">
      <w:pPr>
        <w:pStyle w:val="ListParagraph"/>
        <w:numPr>
          <w:ilvl w:val="1"/>
          <w:numId w:val="1"/>
        </w:numPr>
        <w:rPr>
          <w:b/>
          <w:bCs/>
        </w:rPr>
      </w:pPr>
      <w:r>
        <w:rPr>
          <w:b/>
          <w:bCs/>
        </w:rPr>
        <w:t>Examples of ASP publications</w:t>
      </w:r>
    </w:p>
    <w:p w14:paraId="00EFABF5" w14:textId="5AF38D1A" w:rsidR="00112677" w:rsidRDefault="00112677" w:rsidP="00332C32">
      <w:pPr>
        <w:pStyle w:val="ListParagraph"/>
        <w:numPr>
          <w:ilvl w:val="0"/>
          <w:numId w:val="1"/>
        </w:numPr>
        <w:rPr>
          <w:b/>
          <w:bCs/>
        </w:rPr>
      </w:pPr>
      <w:r>
        <w:rPr>
          <w:b/>
          <w:bCs/>
        </w:rPr>
        <w:t>Derivation of Excess Surface Work or ESW</w:t>
      </w:r>
    </w:p>
    <w:p w14:paraId="3C8CA963" w14:textId="5266A1CC" w:rsidR="00C202EF" w:rsidRDefault="00C202EF" w:rsidP="00C202EF">
      <w:pPr>
        <w:pStyle w:val="ListParagraph"/>
        <w:numPr>
          <w:ilvl w:val="1"/>
          <w:numId w:val="1"/>
        </w:numPr>
        <w:rPr>
          <w:b/>
          <w:bCs/>
        </w:rPr>
      </w:pPr>
      <w:r>
        <w:rPr>
          <w:b/>
          <w:bCs/>
        </w:rPr>
        <w:t>Derivation from DP</w:t>
      </w:r>
    </w:p>
    <w:p w14:paraId="0286F83E" w14:textId="03CBDF7D" w:rsidR="00C202EF" w:rsidRDefault="00C202EF" w:rsidP="00C202EF">
      <w:pPr>
        <w:pStyle w:val="ListParagraph"/>
        <w:numPr>
          <w:ilvl w:val="1"/>
          <w:numId w:val="1"/>
        </w:numPr>
        <w:rPr>
          <w:b/>
          <w:bCs/>
        </w:rPr>
      </w:pPr>
      <w:r>
        <w:rPr>
          <w:b/>
          <w:bCs/>
        </w:rPr>
        <w:t>ESW formulation – “How to”</w:t>
      </w:r>
    </w:p>
    <w:p w14:paraId="7435C4BC" w14:textId="6768166F" w:rsidR="00A131A2" w:rsidRPr="00A131A2" w:rsidRDefault="00C202EF" w:rsidP="00D80217">
      <w:pPr>
        <w:pStyle w:val="ListParagraph"/>
        <w:numPr>
          <w:ilvl w:val="1"/>
          <w:numId w:val="1"/>
        </w:numPr>
        <w:rPr>
          <w:b/>
          <w:bCs/>
        </w:rPr>
      </w:pPr>
      <w:r>
        <w:rPr>
          <w:b/>
          <w:bCs/>
        </w:rPr>
        <w:t>Energy balance for porosity</w:t>
      </w:r>
    </w:p>
    <w:p w14:paraId="0562A455" w14:textId="4A77E269" w:rsidR="00C202EF" w:rsidRPr="00A131A2" w:rsidRDefault="00C202EF" w:rsidP="00C202EF">
      <w:pPr>
        <w:pStyle w:val="ListParagraph"/>
        <w:numPr>
          <w:ilvl w:val="1"/>
          <w:numId w:val="1"/>
        </w:numPr>
        <w:rPr>
          <w:b/>
          <w:bCs/>
        </w:rPr>
      </w:pPr>
      <w:r>
        <w:t>Etc.</w:t>
      </w:r>
    </w:p>
    <w:p w14:paraId="57867DF1" w14:textId="11A1FFBE" w:rsidR="00112677" w:rsidRDefault="00112677" w:rsidP="00332C32">
      <w:pPr>
        <w:pStyle w:val="ListParagraph"/>
        <w:numPr>
          <w:ilvl w:val="0"/>
          <w:numId w:val="1"/>
        </w:numPr>
        <w:rPr>
          <w:b/>
          <w:bCs/>
        </w:rPr>
      </w:pPr>
      <w:r>
        <w:rPr>
          <w:b/>
          <w:bCs/>
        </w:rPr>
        <w:t xml:space="preserve">Cross comparison of </w:t>
      </w:r>
      <w:r>
        <w:rPr>
          <w:rFonts w:cs="Times New Roman"/>
          <w:b/>
          <w:bCs/>
        </w:rPr>
        <w:t>χ</w:t>
      </w:r>
      <w:r>
        <w:rPr>
          <w:b/>
          <w:bCs/>
        </w:rPr>
        <w:t xml:space="preserve"> and ESW</w:t>
      </w:r>
    </w:p>
    <w:p w14:paraId="6B1621BE" w14:textId="617BDA07" w:rsidR="00E031B6" w:rsidRPr="00E031B6" w:rsidRDefault="00D80217" w:rsidP="00E031B6">
      <w:pPr>
        <w:pStyle w:val="ListParagraph"/>
        <w:numPr>
          <w:ilvl w:val="1"/>
          <w:numId w:val="1"/>
        </w:numPr>
        <w:jc w:val="both"/>
        <w:rPr>
          <w:b/>
          <w:bCs/>
        </w:rPr>
      </w:pPr>
      <w:r>
        <w:rPr>
          <w:b/>
          <w:bCs/>
          <w:noProof/>
        </w:rPr>
        <mc:AlternateContent>
          <mc:Choice Requires="wps">
            <w:drawing>
              <wp:anchor distT="0" distB="0" distL="114300" distR="114300" simplePos="0" relativeHeight="251659264" behindDoc="1" locked="0" layoutInCell="1" allowOverlap="1" wp14:anchorId="5F735399" wp14:editId="7963FE7D">
                <wp:simplePos x="0" y="0"/>
                <wp:positionH relativeFrom="column">
                  <wp:posOffset>2251881</wp:posOffset>
                </wp:positionH>
                <wp:positionV relativeFrom="paragraph">
                  <wp:posOffset>20254</wp:posOffset>
                </wp:positionV>
                <wp:extent cx="82296" cy="0"/>
                <wp:effectExtent l="0" t="0" r="0" b="0"/>
                <wp:wrapNone/>
                <wp:docPr id="1621494895" name="Straight Connector 1"/>
                <wp:cNvGraphicFramePr/>
                <a:graphic xmlns:a="http://schemas.openxmlformats.org/drawingml/2006/main">
                  <a:graphicData uri="http://schemas.microsoft.com/office/word/2010/wordprocessingShape">
                    <wps:wsp>
                      <wps:cNvCnPr/>
                      <wps:spPr>
                        <a:xfrm>
                          <a:off x="0" y="0"/>
                          <a:ext cx="822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ADAE1"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3pt,1.6pt" to="18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" strokecolor="#4472c4 [3204]" strokeweight=".5pt">
                <v:stroke joinstyle="miter"/>
              </v:line>
            </w:pict>
          </mc:Fallback>
        </mc:AlternateContent>
      </w:r>
      <w:r w:rsidR="00F96BB5" w:rsidRPr="00FB25A5">
        <w:rPr>
          <w:b/>
          <w:bCs/>
        </w:rPr>
        <w:t xml:space="preserve">Equivalence of </w:t>
      </w:r>
      <w:r w:rsidR="00FB25A5" w:rsidRPr="00E56C59">
        <w:rPr>
          <w:rFonts w:cs="Times New Roman"/>
          <w:b/>
          <w:bCs/>
          <w:i/>
          <w:iCs/>
          <w:color w:val="FF0000"/>
        </w:rPr>
        <w:t>Ē</w:t>
      </w:r>
      <w:r w:rsidR="00FB25A5" w:rsidRPr="00FB25A5">
        <w:rPr>
          <w:rFonts w:cs="Times New Roman"/>
          <w:b/>
          <w:bCs/>
          <w:color w:val="FF0000"/>
          <w:vertAlign w:val="subscript"/>
        </w:rPr>
        <w:t>a</w:t>
      </w:r>
      <w:r w:rsidR="00FB25A5" w:rsidRPr="00FB25A5">
        <w:rPr>
          <w:rFonts w:cs="Times New Roman"/>
          <w:b/>
          <w:bCs/>
          <w:color w:val="FF0000"/>
        </w:rPr>
        <w:t xml:space="preserve"> = </w:t>
      </w:r>
      <w:proofErr w:type="spellStart"/>
      <w:r w:rsidR="002F5F4C" w:rsidRPr="002F5F4C">
        <w:rPr>
          <w:rFonts w:cs="Times New Roman"/>
          <w:b/>
          <w:bCs/>
          <w:i/>
          <w:iCs/>
          <w:color w:val="FF0000"/>
        </w:rPr>
        <w:t>V</w:t>
      </w:r>
      <w:r w:rsidR="00DE4604">
        <w:rPr>
          <w:rFonts w:cs="Times New Roman"/>
          <w:b/>
          <w:bCs/>
          <w:i/>
          <w:iCs/>
          <w:color w:val="FF0000"/>
        </w:rPr>
        <w:fldChar w:fldCharType="begin"/>
      </w:r>
      <w:r w:rsidR="00DE4604">
        <w:rPr>
          <w:rFonts w:cs="Times New Roman"/>
          <w:b/>
          <w:bCs/>
          <w:i/>
          <w:iCs/>
          <w:color w:val="FF0000"/>
        </w:rPr>
        <w:instrText xml:space="preserve"> EQ\x to(</w:instrText>
      </w:r>
      <w:r w:rsidR="00E56C59" w:rsidRPr="00E56C59">
        <w:rPr>
          <w:rFonts w:cs="Times New Roman"/>
          <w:b/>
          <w:bCs/>
          <w:i/>
          <w:iCs/>
          <w:color w:val="FF0000"/>
        </w:rPr>
        <w:instrText>V</w:instrText>
      </w:r>
      <w:r w:rsidR="00DE4604">
        <w:rPr>
          <w:rFonts w:cs="Times New Roman"/>
          <w:b/>
          <w:bCs/>
          <w:i/>
          <w:iCs/>
          <w:color w:val="FF0000"/>
        </w:rPr>
        <w:instrText xml:space="preserve">) </w:instrText>
      </w:r>
      <w:r w:rsidR="00DE4604">
        <w:rPr>
          <w:rFonts w:cs="Times New Roman"/>
          <w:b/>
          <w:bCs/>
          <w:i/>
          <w:iCs/>
          <w:color w:val="FF0000"/>
        </w:rPr>
        <w:fldChar w:fldCharType="end"/>
      </w:r>
      <w:r w:rsidR="00E56C59" w:rsidRPr="00E56C59">
        <w:rPr>
          <w:rFonts w:cs="Times New Roman"/>
          <w:b/>
          <w:bCs/>
          <w:i/>
          <w:iCs/>
          <w:color w:val="FF0000"/>
        </w:rPr>
        <w:t>H</w:t>
      </w:r>
      <w:r w:rsidR="00E56C59">
        <w:rPr>
          <w:rFonts w:cs="Times New Roman"/>
          <w:b/>
          <w:bCs/>
          <w:color w:val="FF0000"/>
          <w:vertAlign w:val="subscript"/>
        </w:rPr>
        <w:t>o</w:t>
      </w:r>
      <w:proofErr w:type="spellEnd"/>
      <w:r>
        <w:rPr>
          <w:rFonts w:cs="Times New Roman"/>
          <w:b/>
          <w:bCs/>
          <w:color w:val="FF0000"/>
        </w:rPr>
        <w:t>?</w:t>
      </w:r>
      <w:r w:rsidR="00E56C59">
        <w:rPr>
          <w:rFonts w:cs="Times New Roman"/>
          <w:b/>
          <w:bCs/>
          <w:color w:val="FF0000"/>
        </w:rPr>
        <w:t xml:space="preserve"> </w:t>
      </w:r>
    </w:p>
    <w:p w14:paraId="011922A3" w14:textId="2D4D5D75" w:rsidR="00E031B6" w:rsidRPr="00241566" w:rsidRDefault="00E031B6" w:rsidP="00E031B6">
      <w:pPr>
        <w:pStyle w:val="ListParagraph"/>
        <w:numPr>
          <w:ilvl w:val="0"/>
          <w:numId w:val="1"/>
        </w:numPr>
        <w:jc w:val="both"/>
        <w:rPr>
          <w:b/>
          <w:bCs/>
          <w:color w:val="FF0000"/>
        </w:rPr>
      </w:pPr>
      <w:r w:rsidRPr="00241566">
        <w:rPr>
          <w:b/>
          <w:bCs/>
          <w:color w:val="FF0000"/>
        </w:rPr>
        <w:t>More about threshold pressure and χ</w:t>
      </w:r>
      <w:r w:rsidRPr="00241566">
        <w:rPr>
          <w:b/>
          <w:bCs/>
          <w:color w:val="FF0000"/>
          <w:vertAlign w:val="subscript"/>
        </w:rPr>
        <w:t>ς</w:t>
      </w:r>
    </w:p>
    <w:p w14:paraId="48874AA9" w14:textId="76123EC0" w:rsidR="00D80217" w:rsidRPr="00241566" w:rsidRDefault="00D80217" w:rsidP="00D80217">
      <w:pPr>
        <w:pStyle w:val="ListParagraph"/>
        <w:numPr>
          <w:ilvl w:val="1"/>
          <w:numId w:val="1"/>
        </w:numPr>
        <w:jc w:val="both"/>
        <w:rPr>
          <w:b/>
          <w:bCs/>
          <w:color w:val="FF0000"/>
        </w:rPr>
      </w:pPr>
      <w:r w:rsidRPr="00241566">
        <w:rPr>
          <w:b/>
          <w:bCs/>
          <w:color w:val="FF0000"/>
        </w:rPr>
        <w:t>Additional BET disproof</w:t>
      </w:r>
    </w:p>
    <w:p w14:paraId="48255244" w14:textId="50E8CDCE" w:rsidR="00112677" w:rsidRPr="00241566" w:rsidRDefault="00112677" w:rsidP="00332C32">
      <w:pPr>
        <w:pStyle w:val="ListParagraph"/>
        <w:numPr>
          <w:ilvl w:val="0"/>
          <w:numId w:val="1"/>
        </w:numPr>
        <w:jc w:val="both"/>
        <w:rPr>
          <w:b/>
          <w:bCs/>
          <w:color w:val="FF0000"/>
        </w:rPr>
      </w:pPr>
      <w:r w:rsidRPr="00241566">
        <w:rPr>
          <w:b/>
          <w:bCs/>
          <w:color w:val="FF0000"/>
        </w:rPr>
        <w:t xml:space="preserve">“Layers” in </w:t>
      </w:r>
      <w:r w:rsidRPr="00241566">
        <w:rPr>
          <w:rFonts w:cs="Times New Roman"/>
          <w:b/>
          <w:bCs/>
          <w:color w:val="FF0000"/>
        </w:rPr>
        <w:t>χ</w:t>
      </w:r>
    </w:p>
    <w:p w14:paraId="6FBC7A0C" w14:textId="349156B2" w:rsidR="0096241B" w:rsidRPr="00241566" w:rsidRDefault="0096241B" w:rsidP="0096241B">
      <w:pPr>
        <w:pStyle w:val="ListParagraph"/>
        <w:numPr>
          <w:ilvl w:val="1"/>
          <w:numId w:val="1"/>
        </w:numPr>
        <w:rPr>
          <w:b/>
          <w:bCs/>
          <w:color w:val="FF0000"/>
        </w:rPr>
      </w:pPr>
      <w:r w:rsidRPr="00241566">
        <w:rPr>
          <w:b/>
          <w:bCs/>
          <w:color w:val="FF0000"/>
        </w:rPr>
        <w:t>The log-law</w:t>
      </w:r>
    </w:p>
    <w:p w14:paraId="12C0DD20" w14:textId="1C46C4E2" w:rsidR="0096241B" w:rsidRPr="00241566" w:rsidRDefault="0096241B" w:rsidP="0096241B">
      <w:pPr>
        <w:pStyle w:val="ListParagraph"/>
        <w:numPr>
          <w:ilvl w:val="1"/>
          <w:numId w:val="1"/>
        </w:numPr>
        <w:rPr>
          <w:b/>
          <w:bCs/>
          <w:color w:val="FF0000"/>
        </w:rPr>
      </w:pPr>
      <w:r w:rsidRPr="00241566">
        <w:rPr>
          <w:b/>
          <w:bCs/>
          <w:color w:val="FF0000"/>
        </w:rPr>
        <w:t xml:space="preserve">Lemma </w:t>
      </w:r>
      <w:r w:rsidR="009F345B" w:rsidRPr="00241566">
        <w:rPr>
          <w:b/>
          <w:bCs/>
          <w:color w:val="FF0000"/>
        </w:rPr>
        <w:t>1</w:t>
      </w:r>
    </w:p>
    <w:p w14:paraId="121ABB17" w14:textId="0A7D0771" w:rsidR="009F345B" w:rsidRPr="00241566" w:rsidRDefault="0096241B" w:rsidP="009F345B">
      <w:pPr>
        <w:pStyle w:val="ListParagraph"/>
        <w:numPr>
          <w:ilvl w:val="1"/>
          <w:numId w:val="1"/>
        </w:numPr>
        <w:rPr>
          <w:b/>
          <w:bCs/>
          <w:color w:val="FF0000"/>
        </w:rPr>
      </w:pPr>
      <w:r w:rsidRPr="00241566">
        <w:rPr>
          <w:b/>
          <w:bCs/>
          <w:color w:val="FF0000"/>
        </w:rPr>
        <w:t>Slightly more than 1 “layer</w:t>
      </w:r>
      <w:r w:rsidR="009F345B" w:rsidRPr="00241566">
        <w:rPr>
          <w:b/>
          <w:bCs/>
          <w:color w:val="FF0000"/>
        </w:rPr>
        <w:t>”</w:t>
      </w:r>
    </w:p>
    <w:p w14:paraId="71C0BC9F" w14:textId="2D0AE014" w:rsidR="004B523B" w:rsidRPr="00241566" w:rsidRDefault="004B523B" w:rsidP="004B523B">
      <w:pPr>
        <w:pStyle w:val="ListParagraph"/>
        <w:numPr>
          <w:ilvl w:val="2"/>
          <w:numId w:val="1"/>
        </w:numPr>
        <w:rPr>
          <w:b/>
          <w:bCs/>
          <w:color w:val="FF0000"/>
        </w:rPr>
      </w:pPr>
      <w:r w:rsidRPr="00241566">
        <w:rPr>
          <w:b/>
          <w:bCs/>
          <w:color w:val="FF0000"/>
        </w:rPr>
        <w:t xml:space="preserve">Cannibalization </w:t>
      </w:r>
    </w:p>
    <w:p w14:paraId="4E295B88" w14:textId="684C4084" w:rsidR="004B523B" w:rsidRPr="00241566" w:rsidRDefault="004B523B" w:rsidP="004B523B">
      <w:pPr>
        <w:pStyle w:val="ListParagraph"/>
        <w:numPr>
          <w:ilvl w:val="2"/>
          <w:numId w:val="1"/>
        </w:numPr>
        <w:rPr>
          <w:b/>
          <w:bCs/>
          <w:color w:val="FF0000"/>
        </w:rPr>
      </w:pPr>
      <w:r w:rsidRPr="00241566">
        <w:rPr>
          <w:b/>
          <w:bCs/>
          <w:color w:val="FF0000"/>
        </w:rPr>
        <w:t>Overall equation with half a 2</w:t>
      </w:r>
      <w:r w:rsidRPr="00241566">
        <w:rPr>
          <w:b/>
          <w:bCs/>
          <w:color w:val="FF0000"/>
          <w:vertAlign w:val="superscript"/>
        </w:rPr>
        <w:t>nd</w:t>
      </w:r>
      <w:r w:rsidRPr="00241566">
        <w:rPr>
          <w:b/>
          <w:bCs/>
          <w:color w:val="FF0000"/>
        </w:rPr>
        <w:t xml:space="preserve"> layer</w:t>
      </w:r>
    </w:p>
    <w:p w14:paraId="18778003" w14:textId="5F3D68F3" w:rsidR="009F345B" w:rsidRPr="00241566" w:rsidRDefault="009F345B" w:rsidP="009F345B">
      <w:pPr>
        <w:pStyle w:val="ListParagraph"/>
        <w:numPr>
          <w:ilvl w:val="0"/>
          <w:numId w:val="1"/>
        </w:numPr>
        <w:rPr>
          <w:b/>
          <w:bCs/>
          <w:color w:val="FF0000"/>
        </w:rPr>
      </w:pPr>
      <w:r w:rsidRPr="00241566">
        <w:rPr>
          <w:b/>
          <w:bCs/>
          <w:color w:val="FF0000"/>
        </w:rPr>
        <w:t>Definition of feature instead of “Type”</w:t>
      </w:r>
    </w:p>
    <w:p w14:paraId="026F3CAB" w14:textId="5330CD7E" w:rsidR="009F345B" w:rsidRPr="00241566" w:rsidRDefault="009F345B" w:rsidP="009F345B">
      <w:pPr>
        <w:pStyle w:val="ListParagraph"/>
        <w:numPr>
          <w:ilvl w:val="0"/>
          <w:numId w:val="1"/>
        </w:numPr>
        <w:rPr>
          <w:b/>
          <w:bCs/>
          <w:color w:val="FF0000"/>
        </w:rPr>
      </w:pPr>
      <w:r w:rsidRPr="00241566">
        <w:rPr>
          <w:b/>
          <w:bCs/>
          <w:color w:val="FF0000"/>
        </w:rPr>
        <w:t>First feature – the log law</w:t>
      </w:r>
    </w:p>
    <w:p w14:paraId="0ABD95CA" w14:textId="14354491" w:rsidR="009F345B" w:rsidRPr="00241566" w:rsidRDefault="009F345B" w:rsidP="009F345B">
      <w:pPr>
        <w:pStyle w:val="ListParagraph"/>
        <w:numPr>
          <w:ilvl w:val="1"/>
          <w:numId w:val="1"/>
        </w:numPr>
        <w:rPr>
          <w:b/>
          <w:bCs/>
          <w:color w:val="FF0000"/>
        </w:rPr>
      </w:pPr>
      <w:r w:rsidRPr="00241566">
        <w:rPr>
          <w:b/>
          <w:bCs/>
          <w:color w:val="FF0000"/>
        </w:rPr>
        <w:t>AALR example</w:t>
      </w:r>
    </w:p>
    <w:p w14:paraId="15D06466" w14:textId="043C62D1" w:rsidR="009F345B" w:rsidRPr="00241566" w:rsidRDefault="009F345B" w:rsidP="009F345B">
      <w:pPr>
        <w:pStyle w:val="ListParagraph"/>
        <w:numPr>
          <w:ilvl w:val="1"/>
          <w:numId w:val="1"/>
        </w:numPr>
        <w:rPr>
          <w:b/>
          <w:bCs/>
          <w:color w:val="FF0000"/>
        </w:rPr>
      </w:pPr>
      <w:r w:rsidRPr="00241566">
        <w:rPr>
          <w:b/>
          <w:bCs/>
          <w:color w:val="FF0000"/>
        </w:rPr>
        <w:t>Do</w:t>
      </w:r>
      <w:r w:rsidR="00B877E1" w:rsidRPr="00241566">
        <w:rPr>
          <w:b/>
          <w:bCs/>
          <w:color w:val="FF0000"/>
        </w:rPr>
        <w:t>, et al.,</w:t>
      </w:r>
      <w:r w:rsidRPr="00241566">
        <w:rPr>
          <w:b/>
          <w:bCs/>
          <w:color w:val="FF0000"/>
        </w:rPr>
        <w:t xml:space="preserve"> example</w:t>
      </w:r>
    </w:p>
    <w:p w14:paraId="39E17D06" w14:textId="071F4962" w:rsidR="009F345B" w:rsidRPr="00241566" w:rsidRDefault="009F345B" w:rsidP="009F345B">
      <w:pPr>
        <w:pStyle w:val="ListParagraph"/>
        <w:numPr>
          <w:ilvl w:val="1"/>
          <w:numId w:val="1"/>
        </w:numPr>
        <w:rPr>
          <w:b/>
          <w:bCs/>
          <w:color w:val="FF0000"/>
        </w:rPr>
      </w:pPr>
      <w:r w:rsidRPr="00241566">
        <w:rPr>
          <w:b/>
          <w:bCs/>
          <w:color w:val="FF0000"/>
        </w:rPr>
        <w:t>Example of small amount of 2</w:t>
      </w:r>
      <w:r w:rsidRPr="00241566">
        <w:rPr>
          <w:b/>
          <w:bCs/>
          <w:color w:val="FF0000"/>
          <w:vertAlign w:val="superscript"/>
        </w:rPr>
        <w:t>nd</w:t>
      </w:r>
      <w:r w:rsidRPr="00241566">
        <w:rPr>
          <w:b/>
          <w:bCs/>
          <w:color w:val="FF0000"/>
        </w:rPr>
        <w:t xml:space="preserve"> “layer”</w:t>
      </w:r>
      <w:r w:rsidR="004B523B" w:rsidRPr="00241566">
        <w:rPr>
          <w:b/>
          <w:bCs/>
          <w:color w:val="FF0000"/>
        </w:rPr>
        <w:t xml:space="preserve"> example</w:t>
      </w:r>
    </w:p>
    <w:p w14:paraId="7D3D9E08" w14:textId="648A1148" w:rsidR="009F345B" w:rsidRPr="00241566" w:rsidRDefault="009F345B" w:rsidP="009F345B">
      <w:pPr>
        <w:pStyle w:val="ListParagraph"/>
        <w:numPr>
          <w:ilvl w:val="0"/>
          <w:numId w:val="1"/>
        </w:numPr>
        <w:rPr>
          <w:b/>
          <w:bCs/>
          <w:color w:val="FF0000"/>
        </w:rPr>
      </w:pPr>
      <w:r w:rsidRPr="00241566">
        <w:rPr>
          <w:b/>
          <w:bCs/>
          <w:color w:val="FF0000"/>
        </w:rPr>
        <w:t>Second feature – heterogeneity</w:t>
      </w:r>
    </w:p>
    <w:p w14:paraId="4AED9A5A" w14:textId="454DE280" w:rsidR="00B877E1" w:rsidRPr="00241566" w:rsidRDefault="00B877E1" w:rsidP="00B877E1">
      <w:pPr>
        <w:pStyle w:val="ListParagraph"/>
        <w:numPr>
          <w:ilvl w:val="1"/>
          <w:numId w:val="1"/>
        </w:numPr>
        <w:rPr>
          <w:b/>
          <w:bCs/>
          <w:color w:val="FF0000"/>
        </w:rPr>
      </w:pPr>
      <w:r w:rsidRPr="00241566">
        <w:rPr>
          <w:b/>
          <w:bCs/>
          <w:color w:val="FF0000"/>
        </w:rPr>
        <w:t>Theoretical explanation</w:t>
      </w:r>
    </w:p>
    <w:p w14:paraId="193F8038" w14:textId="127A6D86" w:rsidR="009F345B" w:rsidRPr="00241566" w:rsidRDefault="009F345B" w:rsidP="009F345B">
      <w:pPr>
        <w:pStyle w:val="ListParagraph"/>
        <w:numPr>
          <w:ilvl w:val="1"/>
          <w:numId w:val="1"/>
        </w:numPr>
        <w:rPr>
          <w:b/>
          <w:bCs/>
          <w:color w:val="FF0000"/>
        </w:rPr>
      </w:pPr>
      <w:r w:rsidRPr="00241566">
        <w:rPr>
          <w:b/>
          <w:bCs/>
          <w:color w:val="FF0000"/>
        </w:rPr>
        <w:t>KJO data showing slight heterogeneity</w:t>
      </w:r>
    </w:p>
    <w:p w14:paraId="56C47977" w14:textId="19C9422E" w:rsidR="00505301" w:rsidRPr="00241566" w:rsidRDefault="00505301" w:rsidP="009F345B">
      <w:pPr>
        <w:pStyle w:val="ListParagraph"/>
        <w:numPr>
          <w:ilvl w:val="1"/>
          <w:numId w:val="1"/>
        </w:numPr>
        <w:rPr>
          <w:b/>
          <w:bCs/>
          <w:color w:val="FF0000"/>
        </w:rPr>
      </w:pPr>
      <w:r w:rsidRPr="00241566">
        <w:rPr>
          <w:b/>
          <w:bCs/>
          <w:color w:val="FF0000"/>
        </w:rPr>
        <w:t>How heterogeneity affects saturation pressure</w:t>
      </w:r>
    </w:p>
    <w:p w14:paraId="1A954499" w14:textId="465DFA26" w:rsidR="009F345B" w:rsidRPr="00241566" w:rsidRDefault="009F345B" w:rsidP="009F345B">
      <w:pPr>
        <w:pStyle w:val="ListParagraph"/>
        <w:numPr>
          <w:ilvl w:val="1"/>
          <w:numId w:val="1"/>
        </w:numPr>
        <w:rPr>
          <w:b/>
          <w:bCs/>
          <w:color w:val="FF0000"/>
        </w:rPr>
      </w:pPr>
      <w:r w:rsidRPr="00241566">
        <w:rPr>
          <w:b/>
          <w:bCs/>
          <w:color w:val="FF0000"/>
        </w:rPr>
        <w:t>Example of large heterogeneity</w:t>
      </w:r>
      <w:r w:rsidR="00C202EF" w:rsidRPr="00241566">
        <w:rPr>
          <w:b/>
          <w:bCs/>
          <w:color w:val="FF0000"/>
        </w:rPr>
        <w:t xml:space="preserve"> who?</w:t>
      </w:r>
    </w:p>
    <w:p w14:paraId="70354550" w14:textId="3C71D504" w:rsidR="00D13340" w:rsidRPr="00241566" w:rsidRDefault="00D13340" w:rsidP="009F345B">
      <w:pPr>
        <w:pStyle w:val="ListParagraph"/>
        <w:numPr>
          <w:ilvl w:val="1"/>
          <w:numId w:val="1"/>
        </w:numPr>
        <w:rPr>
          <w:b/>
          <w:bCs/>
          <w:color w:val="FF0000"/>
        </w:rPr>
      </w:pPr>
      <w:r w:rsidRPr="00241566">
        <w:rPr>
          <w:b/>
          <w:bCs/>
          <w:color w:val="FF0000"/>
        </w:rPr>
        <w:t>Example of log-law/large external</w:t>
      </w:r>
    </w:p>
    <w:p w14:paraId="570785EE" w14:textId="4E3FD1AE" w:rsidR="00D13340" w:rsidRPr="00241566" w:rsidRDefault="00D13340" w:rsidP="00D13340">
      <w:pPr>
        <w:pStyle w:val="ListParagraph"/>
        <w:numPr>
          <w:ilvl w:val="0"/>
          <w:numId w:val="1"/>
        </w:numPr>
        <w:rPr>
          <w:b/>
          <w:bCs/>
          <w:color w:val="FF0000"/>
        </w:rPr>
      </w:pPr>
      <w:r w:rsidRPr="00241566">
        <w:rPr>
          <w:b/>
          <w:bCs/>
          <w:color w:val="FF0000"/>
        </w:rPr>
        <w:t>Third feature – mesoporosity</w:t>
      </w:r>
    </w:p>
    <w:p w14:paraId="1461BA19" w14:textId="3D1E4179" w:rsidR="00D13340" w:rsidRPr="00241566" w:rsidRDefault="00B877E1" w:rsidP="00D13340">
      <w:pPr>
        <w:pStyle w:val="ListParagraph"/>
        <w:numPr>
          <w:ilvl w:val="1"/>
          <w:numId w:val="1"/>
        </w:numPr>
        <w:rPr>
          <w:b/>
          <w:bCs/>
          <w:color w:val="FF0000"/>
        </w:rPr>
      </w:pPr>
      <w:r w:rsidRPr="00241566">
        <w:rPr>
          <w:b/>
          <w:bCs/>
          <w:color w:val="FF0000"/>
        </w:rPr>
        <w:t>Theoretical explanation for fitting</w:t>
      </w:r>
    </w:p>
    <w:p w14:paraId="46CBE226" w14:textId="574BC647" w:rsidR="00B877E1" w:rsidRPr="00241566" w:rsidRDefault="00B877E1" w:rsidP="00B877E1">
      <w:pPr>
        <w:pStyle w:val="ListParagraph"/>
        <w:numPr>
          <w:ilvl w:val="1"/>
          <w:numId w:val="1"/>
        </w:numPr>
        <w:rPr>
          <w:b/>
          <w:bCs/>
          <w:color w:val="FF0000"/>
        </w:rPr>
      </w:pPr>
      <w:r w:rsidRPr="00241566">
        <w:rPr>
          <w:b/>
          <w:bCs/>
          <w:color w:val="FF0000"/>
        </w:rPr>
        <w:t>Theoretical explanation for position</w:t>
      </w:r>
      <w:r w:rsidR="004B523B" w:rsidRPr="00241566">
        <w:rPr>
          <w:b/>
          <w:bCs/>
          <w:color w:val="FF0000"/>
        </w:rPr>
        <w:t xml:space="preserve"> with </w:t>
      </w:r>
      <w:r w:rsidR="004B523B" w:rsidRPr="00241566">
        <w:rPr>
          <w:rFonts w:cs="Times New Roman"/>
          <w:b/>
          <w:bCs/>
          <w:color w:val="FF0000"/>
        </w:rPr>
        <w:t>χ</w:t>
      </w:r>
    </w:p>
    <w:p w14:paraId="4DC918B0" w14:textId="75540DF1" w:rsidR="00944BDF" w:rsidRPr="00241566" w:rsidRDefault="00B877E1" w:rsidP="00944BDF">
      <w:pPr>
        <w:pStyle w:val="ListParagraph"/>
        <w:numPr>
          <w:ilvl w:val="1"/>
          <w:numId w:val="1"/>
        </w:numPr>
        <w:rPr>
          <w:b/>
          <w:bCs/>
          <w:color w:val="FF0000"/>
        </w:rPr>
      </w:pPr>
      <w:r w:rsidRPr="00241566">
        <w:rPr>
          <w:b/>
          <w:bCs/>
          <w:color w:val="FF0000"/>
        </w:rPr>
        <w:t>Examples fro</w:t>
      </w:r>
      <w:r w:rsidR="00944BDF" w:rsidRPr="00241566">
        <w:rPr>
          <w:b/>
          <w:bCs/>
          <w:color w:val="FF0000"/>
        </w:rPr>
        <w:t>m</w:t>
      </w:r>
    </w:p>
    <w:p w14:paraId="62448034" w14:textId="77777777" w:rsidR="00944BDF" w:rsidRPr="00241566" w:rsidRDefault="00944BDF" w:rsidP="00944BDF">
      <w:pPr>
        <w:pStyle w:val="ListParagraph"/>
        <w:numPr>
          <w:ilvl w:val="0"/>
          <w:numId w:val="1"/>
        </w:numPr>
        <w:rPr>
          <w:b/>
          <w:bCs/>
          <w:color w:val="FF0000"/>
        </w:rPr>
      </w:pPr>
      <w:r w:rsidRPr="00241566">
        <w:rPr>
          <w:b/>
          <w:bCs/>
          <w:color w:val="FF0000"/>
        </w:rPr>
        <w:t xml:space="preserve">Mixed features – </w:t>
      </w:r>
    </w:p>
    <w:p w14:paraId="2D040AF7" w14:textId="1E526D02" w:rsidR="00944BDF" w:rsidRDefault="00944BDF" w:rsidP="00944BDF">
      <w:pPr>
        <w:pStyle w:val="ListParagraph"/>
        <w:numPr>
          <w:ilvl w:val="1"/>
          <w:numId w:val="1"/>
        </w:numPr>
        <w:rPr>
          <w:b/>
          <w:bCs/>
        </w:rPr>
      </w:pPr>
      <w:r>
        <w:rPr>
          <w:b/>
          <w:bCs/>
        </w:rPr>
        <w:t>Microporous plus large external area</w:t>
      </w:r>
      <w:r w:rsidR="00C202EF">
        <w:rPr>
          <w:b/>
          <w:bCs/>
        </w:rPr>
        <w:t>.</w:t>
      </w:r>
    </w:p>
    <w:p w14:paraId="253734DB" w14:textId="170FC61E" w:rsidR="008432A3" w:rsidRPr="00241566" w:rsidRDefault="008432A3" w:rsidP="00241566">
      <w:pPr>
        <w:pStyle w:val="ListParagraph"/>
        <w:numPr>
          <w:ilvl w:val="1"/>
          <w:numId w:val="1"/>
        </w:numPr>
        <w:rPr>
          <w:b/>
          <w:bCs/>
        </w:rPr>
      </w:pPr>
      <w:r w:rsidRPr="008432A3">
        <w:t>Stop Here</w:t>
      </w:r>
      <w:r>
        <w:t xml:space="preserve"> – future work:</w:t>
      </w:r>
    </w:p>
    <w:p w14:paraId="11D1150D" w14:textId="77164939" w:rsidR="00944BDF" w:rsidRDefault="00944BDF" w:rsidP="00944BDF">
      <w:pPr>
        <w:pStyle w:val="ListParagraph"/>
        <w:numPr>
          <w:ilvl w:val="0"/>
          <w:numId w:val="1"/>
        </w:numPr>
        <w:rPr>
          <w:b/>
          <w:bCs/>
        </w:rPr>
      </w:pPr>
      <w:r w:rsidRPr="00944BDF">
        <w:rPr>
          <w:b/>
          <w:bCs/>
        </w:rPr>
        <w:t>|</w:t>
      </w:r>
      <w:r w:rsidRPr="00944BDF">
        <w:rPr>
          <w:rFonts w:cs="Times New Roman"/>
          <w:b/>
          <w:bCs/>
        </w:rPr>
        <w:t>ε</w:t>
      </w:r>
      <w:r w:rsidRPr="00944BDF">
        <w:rPr>
          <w:b/>
          <w:bCs/>
        </w:rPr>
        <w:t>| &gt; |</w:t>
      </w:r>
      <w:r w:rsidRPr="00944BDF">
        <w:rPr>
          <w:b/>
          <w:bCs/>
          <w:i/>
          <w:iCs/>
        </w:rPr>
        <w:t>E</w:t>
      </w:r>
      <w:r w:rsidRPr="00944BDF">
        <w:rPr>
          <w:b/>
          <w:bCs/>
          <w:vertAlign w:val="subscript"/>
        </w:rPr>
        <w:t>a</w:t>
      </w:r>
      <w:r w:rsidRPr="00944BDF">
        <w:rPr>
          <w:b/>
          <w:bCs/>
        </w:rPr>
        <w:t>|</w:t>
      </w:r>
    </w:p>
    <w:p w14:paraId="3FE6E521" w14:textId="30BA6950" w:rsidR="008432A3" w:rsidRDefault="00944BDF" w:rsidP="008432A3">
      <w:pPr>
        <w:pStyle w:val="ListParagraph"/>
        <w:numPr>
          <w:ilvl w:val="1"/>
          <w:numId w:val="1"/>
        </w:numPr>
        <w:rPr>
          <w:b/>
          <w:bCs/>
        </w:rPr>
      </w:pPr>
      <w:r w:rsidRPr="002F253C">
        <w:rPr>
          <w:b/>
          <w:bCs/>
        </w:rPr>
        <w:t>H</w:t>
      </w:r>
      <w:r w:rsidRPr="002F253C">
        <w:rPr>
          <w:b/>
          <w:bCs/>
          <w:vertAlign w:val="subscript"/>
        </w:rPr>
        <w:t>2</w:t>
      </w:r>
      <w:r w:rsidRPr="002F253C">
        <w:rPr>
          <w:b/>
          <w:bCs/>
        </w:rPr>
        <w:t>O and C</w:t>
      </w:r>
      <w:r w:rsidRPr="002F253C">
        <w:rPr>
          <w:b/>
          <w:bCs/>
          <w:vertAlign w:val="subscript"/>
        </w:rPr>
        <w:t>6</w:t>
      </w:r>
      <w:r w:rsidRPr="002F253C">
        <w:rPr>
          <w:b/>
          <w:bCs/>
        </w:rPr>
        <w:t>H</w:t>
      </w:r>
      <w:r w:rsidRPr="002F253C">
        <w:rPr>
          <w:b/>
          <w:bCs/>
          <w:vertAlign w:val="subscript"/>
        </w:rPr>
        <w:t>6</w:t>
      </w:r>
      <w:r w:rsidRPr="002F253C">
        <w:rPr>
          <w:b/>
          <w:bCs/>
        </w:rPr>
        <w:t xml:space="preserve"> on SiO</w:t>
      </w:r>
      <w:r w:rsidR="008432A3" w:rsidRPr="008432A3">
        <w:rPr>
          <w:b/>
          <w:bCs/>
          <w:vertAlign w:val="subscript"/>
        </w:rPr>
        <w:t>2</w:t>
      </w:r>
      <w:r w:rsidR="00505301">
        <w:t xml:space="preserve"> may need some new words here. </w:t>
      </w:r>
      <w:proofErr w:type="gramStart"/>
      <w:r w:rsidR="00505301">
        <w:t>?-</w:t>
      </w:r>
      <w:proofErr w:type="spellStart"/>
      <w:proofErr w:type="gramEnd"/>
      <w:r w:rsidR="00505301">
        <w:t>phil</w:t>
      </w:r>
      <w:proofErr w:type="spellEnd"/>
      <w:r w:rsidR="00505301">
        <w:t xml:space="preserve"> and ?-</w:t>
      </w:r>
      <w:proofErr w:type="spellStart"/>
      <w:r w:rsidR="00505301">
        <w:t>phobe</w:t>
      </w:r>
      <w:proofErr w:type="spellEnd"/>
    </w:p>
    <w:p w14:paraId="705BEDF0" w14:textId="2A03788A" w:rsidR="008432A3" w:rsidRPr="00241566" w:rsidRDefault="008432A3" w:rsidP="008432A3">
      <w:pPr>
        <w:pStyle w:val="ListParagraph"/>
        <w:numPr>
          <w:ilvl w:val="0"/>
          <w:numId w:val="1"/>
        </w:numPr>
        <w:rPr>
          <w:b/>
          <w:bCs/>
          <w:color w:val="FF0000"/>
        </w:rPr>
      </w:pPr>
      <w:r w:rsidRPr="00241566">
        <w:rPr>
          <w:b/>
          <w:bCs/>
          <w:color w:val="FF0000"/>
        </w:rPr>
        <w:t>Binary adsorption</w:t>
      </w:r>
    </w:p>
    <w:p w14:paraId="058C34A3" w14:textId="77777777" w:rsidR="00C202EF" w:rsidRPr="00C202EF" w:rsidRDefault="00C202EF" w:rsidP="00C202EF">
      <w:pPr>
        <w:rPr>
          <w:b/>
          <w:bCs/>
        </w:rPr>
      </w:pPr>
    </w:p>
    <w:p w14:paraId="1BF569A7" w14:textId="44215E82" w:rsidR="00C202EF" w:rsidRPr="00C202EF" w:rsidRDefault="00C202EF" w:rsidP="00C202EF">
      <w:pPr>
        <w:spacing w:after="160" w:line="259" w:lineRule="auto"/>
        <w:rPr>
          <w:b/>
          <w:bCs/>
        </w:rPr>
      </w:pPr>
      <w:r>
        <w:rPr>
          <w:b/>
          <w:bCs/>
        </w:rPr>
        <w:br w:type="page"/>
      </w:r>
    </w:p>
    <w:tbl>
      <w:tblPr>
        <w:tblStyle w:val="TableGrid"/>
        <w:tblW w:w="0" w:type="auto"/>
        <w:tblLook w:val="04A0" w:firstRow="1" w:lastRow="0" w:firstColumn="1" w:lastColumn="0" w:noHBand="0" w:noVBand="1"/>
      </w:tblPr>
      <w:tblGrid>
        <w:gridCol w:w="9350"/>
      </w:tblGrid>
      <w:tr w:rsidR="00867DD7" w14:paraId="3E906848" w14:textId="77777777" w:rsidTr="00867DD7">
        <w:tc>
          <w:tcPr>
            <w:tcW w:w="9350" w:type="dxa"/>
          </w:tcPr>
          <w:p w14:paraId="029E76A7" w14:textId="77777777"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val="en-CA" w:eastAsia="en-US" w:bidi="ar-SA"/>
              </w:rPr>
              <w:lastRenderedPageBreak/>
              <w:fldChar w:fldCharType="begin"/>
            </w:r>
            <w:r w:rsidRPr="00867DD7">
              <w:rPr>
                <w:rFonts w:eastAsiaTheme="minorHAnsi" w:cs="Times New Roman"/>
                <w:kern w:val="0"/>
                <w:lang w:val="en-CA" w:eastAsia="en-US" w:bidi="ar-SA"/>
              </w:rPr>
              <w:instrText xml:space="preserve"> SEQ CHAPTER \h \r 1</w:instrText>
            </w:r>
            <w:r w:rsidRPr="00867DD7">
              <w:rPr>
                <w:rFonts w:eastAsiaTheme="minorHAnsi" w:cs="Times New Roman"/>
                <w:kern w:val="0"/>
                <w:lang w:val="en-CA" w:eastAsia="en-US" w:bidi="ar-SA"/>
              </w:rPr>
              <w:fldChar w:fldCharType="end"/>
            </w:r>
            <w:r w:rsidRPr="00867DD7">
              <w:rPr>
                <w:rFonts w:eastAsiaTheme="minorHAnsi" w:cs="Times New Roman"/>
                <w:kern w:val="0"/>
                <w:lang w:eastAsia="en-US" w:bidi="ar-SA"/>
              </w:rPr>
              <w:t>The BET model is based on a set of assumptions that include (1) adsorption on a uniform surface, (2) each adsorbed molecule in a layer is a potential adsorption site for the next layer, (3) no steric limitation on the thickness of the multilayer, (4) no interaction between the molecules in the same layer, and (5) the energy of adsorption on the first layer is higher than the rest (Figure 1a). (3) However, as has been pointed out, “[t]he BET model appears to be unrealistic in a number of respects. For example, in addition to the Langmuir concept of an ideal localized monolayer adsorption, it is assumed that all the adsorption sites for multilayer adsorption are energetically identical and that all layers after the first have liquid-like properties.” (2) Furthermore, Rouquerol et al. have even stated that “the BET model does not provide a realistic description of any known physisorption system.” (2) Hence, the previous discussions on the validity and foundation of the BET surface area have centered around the validity of these assumptions, especially for porous and granular systems. (3,11−13)</w:t>
            </w:r>
          </w:p>
          <w:p w14:paraId="143A88C9" w14:textId="77777777" w:rsidR="00867DD7" w:rsidRPr="00867DD7" w:rsidRDefault="00867DD7" w:rsidP="00867DD7">
            <w:pPr>
              <w:autoSpaceDE w:val="0"/>
              <w:autoSpaceDN w:val="0"/>
              <w:adjustRightInd w:val="0"/>
              <w:rPr>
                <w:rFonts w:eastAsiaTheme="minorHAnsi" w:cs="Times New Roman"/>
                <w:kern w:val="0"/>
                <w:lang w:eastAsia="en-US" w:bidi="ar-SA"/>
              </w:rPr>
            </w:pPr>
          </w:p>
          <w:p w14:paraId="249E4FA1" w14:textId="77777777"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eastAsia="en-US" w:bidi="ar-SA"/>
              </w:rPr>
              <w:t>Surface Area Estimation: Replacing the Brunauer–Emmett–Teller Model with the Statistical Thermodynamic Fluctuation Theory</w:t>
            </w:r>
          </w:p>
          <w:p w14:paraId="68619E57" w14:textId="77777777" w:rsidR="00867DD7" w:rsidRPr="00867DD7" w:rsidRDefault="00867DD7" w:rsidP="00867DD7">
            <w:pPr>
              <w:autoSpaceDE w:val="0"/>
              <w:autoSpaceDN w:val="0"/>
              <w:adjustRightInd w:val="0"/>
              <w:rPr>
                <w:rFonts w:eastAsiaTheme="minorHAnsi" w:cs="Times New Roman"/>
                <w:kern w:val="0"/>
                <w:lang w:eastAsia="en-US" w:bidi="ar-SA"/>
              </w:rPr>
            </w:pPr>
          </w:p>
          <w:p w14:paraId="04045B0E" w14:textId="77777777"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eastAsia="en-US" w:bidi="ar-SA"/>
              </w:rPr>
              <w:t xml:space="preserve">    Seishi Shimizu* and Nobuyuki Matubayasi</w:t>
            </w:r>
          </w:p>
          <w:p w14:paraId="3625EDB2" w14:textId="77777777" w:rsidR="00867DD7" w:rsidRPr="00867DD7" w:rsidRDefault="00867DD7" w:rsidP="00867DD7">
            <w:pPr>
              <w:autoSpaceDE w:val="0"/>
              <w:autoSpaceDN w:val="0"/>
              <w:adjustRightInd w:val="0"/>
              <w:rPr>
                <w:rFonts w:eastAsiaTheme="minorHAnsi" w:cs="Times New Roman"/>
                <w:kern w:val="0"/>
                <w:lang w:eastAsia="en-US" w:bidi="ar-SA"/>
              </w:rPr>
            </w:pPr>
          </w:p>
          <w:p w14:paraId="681C95AF" w14:textId="09F12163"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eastAsia="en-US" w:bidi="ar-SA"/>
              </w:rPr>
              <w:t xml:space="preserve">Cite this: Langmuir 2022, 38 </w:t>
            </w:r>
            <w:r w:rsidR="00241566">
              <w:rPr>
                <w:rFonts w:eastAsiaTheme="minorHAnsi" w:cs="Times New Roman"/>
                <w:kern w:val="0"/>
                <w:lang w:eastAsia="en-US" w:bidi="ar-SA"/>
              </w:rPr>
              <w:t>(</w:t>
            </w:r>
            <w:r w:rsidRPr="00867DD7">
              <w:rPr>
                <w:rFonts w:eastAsiaTheme="minorHAnsi" w:cs="Times New Roman"/>
                <w:kern w:val="0"/>
                <w:lang w:eastAsia="en-US" w:bidi="ar-SA"/>
              </w:rPr>
              <w:t>26</w:t>
            </w:r>
            <w:r w:rsidR="00241566">
              <w:rPr>
                <w:rFonts w:eastAsiaTheme="minorHAnsi" w:cs="Times New Roman"/>
                <w:kern w:val="0"/>
                <w:lang w:eastAsia="en-US" w:bidi="ar-SA"/>
              </w:rPr>
              <w:t>)</w:t>
            </w:r>
            <w:r w:rsidRPr="00867DD7">
              <w:rPr>
                <w:rFonts w:eastAsiaTheme="minorHAnsi" w:cs="Times New Roman"/>
                <w:kern w:val="0"/>
                <w:lang w:eastAsia="en-US" w:bidi="ar-SA"/>
              </w:rPr>
              <w:t xml:space="preserve"> 7989–8002</w:t>
            </w:r>
          </w:p>
          <w:p w14:paraId="2BA75A7A" w14:textId="029A9AC0"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eastAsia="en-US" w:bidi="ar-SA"/>
              </w:rPr>
              <w:t>Publication Date:</w:t>
            </w:r>
            <w:r w:rsidR="00241566">
              <w:rPr>
                <w:rFonts w:eastAsiaTheme="minorHAnsi" w:cs="Times New Roman"/>
                <w:kern w:val="0"/>
                <w:lang w:eastAsia="en-US" w:bidi="ar-SA"/>
              </w:rPr>
              <w:t xml:space="preserve"> </w:t>
            </w:r>
            <w:r w:rsidRPr="00867DD7">
              <w:rPr>
                <w:rFonts w:eastAsiaTheme="minorHAnsi" w:cs="Times New Roman"/>
                <w:kern w:val="0"/>
                <w:lang w:eastAsia="en-US" w:bidi="ar-SA"/>
              </w:rPr>
              <w:t>June 17, 2022</w:t>
            </w:r>
          </w:p>
          <w:p w14:paraId="4E46D67B" w14:textId="77777777"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eastAsia="en-US" w:bidi="ar-SA"/>
              </w:rPr>
              <w:t>https://doi.org/10.1021/acs.langmuir.2c00753</w:t>
            </w:r>
          </w:p>
          <w:p w14:paraId="0E9F1690" w14:textId="77777777" w:rsidR="00867DD7" w:rsidRPr="00867DD7" w:rsidRDefault="00867DD7" w:rsidP="00867DD7">
            <w:pPr>
              <w:autoSpaceDE w:val="0"/>
              <w:autoSpaceDN w:val="0"/>
              <w:adjustRightInd w:val="0"/>
              <w:rPr>
                <w:rFonts w:eastAsiaTheme="minorHAnsi" w:cs="Times New Roman"/>
                <w:kern w:val="0"/>
                <w:lang w:eastAsia="en-US" w:bidi="ar-SA"/>
              </w:rPr>
            </w:pPr>
            <w:r w:rsidRPr="00867DD7">
              <w:rPr>
                <w:rFonts w:eastAsiaTheme="minorHAnsi" w:cs="Times New Roman"/>
                <w:kern w:val="0"/>
                <w:lang w:eastAsia="en-US" w:bidi="ar-SA"/>
              </w:rPr>
              <w:t>Copyright © 2022 The Authors. Published by American Chemical Society</w:t>
            </w:r>
          </w:p>
          <w:p w14:paraId="2C687655" w14:textId="77777777" w:rsidR="00867DD7" w:rsidRDefault="00867DD7" w:rsidP="00867DD7">
            <w:pPr>
              <w:rPr>
                <w:b/>
                <w:bCs/>
              </w:rPr>
            </w:pPr>
          </w:p>
        </w:tc>
      </w:tr>
    </w:tbl>
    <w:p w14:paraId="759DCB37" w14:textId="3642A0F8" w:rsidR="00A0612C" w:rsidRPr="00867DD7" w:rsidRDefault="00A0612C" w:rsidP="00867DD7">
      <w:pPr>
        <w:rPr>
          <w:b/>
          <w:bCs/>
        </w:rPr>
      </w:pPr>
    </w:p>
    <w:sectPr w:rsidR="00A0612C" w:rsidRPr="00867D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AD51" w14:textId="77777777" w:rsidR="005A3AC9" w:rsidRDefault="005A3AC9" w:rsidP="004B523B">
      <w:r>
        <w:separator/>
      </w:r>
    </w:p>
  </w:endnote>
  <w:endnote w:type="continuationSeparator" w:id="0">
    <w:p w14:paraId="3E3725D3" w14:textId="77777777" w:rsidR="005A3AC9" w:rsidRDefault="005A3AC9" w:rsidP="004B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90A7" w14:textId="77777777" w:rsidR="005A3AC9" w:rsidRDefault="005A3AC9" w:rsidP="004B523B">
      <w:r>
        <w:separator/>
      </w:r>
    </w:p>
  </w:footnote>
  <w:footnote w:type="continuationSeparator" w:id="0">
    <w:p w14:paraId="7E91891C" w14:textId="77777777" w:rsidR="005A3AC9" w:rsidRDefault="005A3AC9" w:rsidP="004B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C7F79"/>
    <w:multiLevelType w:val="hybridMultilevel"/>
    <w:tmpl w:val="DC00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66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32"/>
    <w:rsid w:val="0008433D"/>
    <w:rsid w:val="000B281C"/>
    <w:rsid w:val="000D2CED"/>
    <w:rsid w:val="00103852"/>
    <w:rsid w:val="00112677"/>
    <w:rsid w:val="00174FC3"/>
    <w:rsid w:val="001C2058"/>
    <w:rsid w:val="001D4172"/>
    <w:rsid w:val="00241566"/>
    <w:rsid w:val="002F253C"/>
    <w:rsid w:val="002F5F4C"/>
    <w:rsid w:val="00314F68"/>
    <w:rsid w:val="00332C32"/>
    <w:rsid w:val="0037064F"/>
    <w:rsid w:val="00375C7B"/>
    <w:rsid w:val="003B22CD"/>
    <w:rsid w:val="00415296"/>
    <w:rsid w:val="00415CDF"/>
    <w:rsid w:val="00452DD0"/>
    <w:rsid w:val="004B523B"/>
    <w:rsid w:val="004D4026"/>
    <w:rsid w:val="00505301"/>
    <w:rsid w:val="00522B3C"/>
    <w:rsid w:val="005520AD"/>
    <w:rsid w:val="00554D91"/>
    <w:rsid w:val="005A3AC9"/>
    <w:rsid w:val="00680D73"/>
    <w:rsid w:val="006E70D6"/>
    <w:rsid w:val="00793215"/>
    <w:rsid w:val="00833DDF"/>
    <w:rsid w:val="008432A3"/>
    <w:rsid w:val="00867DD7"/>
    <w:rsid w:val="00944BDF"/>
    <w:rsid w:val="0096241B"/>
    <w:rsid w:val="009B491C"/>
    <w:rsid w:val="009F26ED"/>
    <w:rsid w:val="009F345B"/>
    <w:rsid w:val="00A0612C"/>
    <w:rsid w:val="00A131A2"/>
    <w:rsid w:val="00A654DF"/>
    <w:rsid w:val="00A83320"/>
    <w:rsid w:val="00AA7F8D"/>
    <w:rsid w:val="00AD79E2"/>
    <w:rsid w:val="00AF5897"/>
    <w:rsid w:val="00B82604"/>
    <w:rsid w:val="00B877E1"/>
    <w:rsid w:val="00BE2337"/>
    <w:rsid w:val="00C202EF"/>
    <w:rsid w:val="00C57B59"/>
    <w:rsid w:val="00CA7410"/>
    <w:rsid w:val="00CD62B9"/>
    <w:rsid w:val="00D13340"/>
    <w:rsid w:val="00D34A56"/>
    <w:rsid w:val="00D4273A"/>
    <w:rsid w:val="00D80217"/>
    <w:rsid w:val="00DE4604"/>
    <w:rsid w:val="00DF79BB"/>
    <w:rsid w:val="00E0005E"/>
    <w:rsid w:val="00E031B6"/>
    <w:rsid w:val="00E24BEB"/>
    <w:rsid w:val="00E461B9"/>
    <w:rsid w:val="00E56C59"/>
    <w:rsid w:val="00F829F0"/>
    <w:rsid w:val="00F96BB5"/>
    <w:rsid w:val="00FB25A5"/>
    <w:rsid w:val="00FC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B279"/>
  <w15:chartTrackingRefBased/>
  <w15:docId w15:val="{5EC6C702-4E65-4ED6-95C0-825C3041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C32"/>
    <w:pPr>
      <w:ind w:left="720"/>
      <w:contextualSpacing/>
    </w:pPr>
    <w:rPr>
      <w:rFonts w:cs="Mangal"/>
      <w:szCs w:val="21"/>
    </w:rPr>
  </w:style>
  <w:style w:type="table" w:styleId="TableGrid">
    <w:name w:val="Table Grid"/>
    <w:basedOn w:val="TableNormal"/>
    <w:uiPriority w:val="39"/>
    <w:rsid w:val="0086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5A5"/>
    <w:rPr>
      <w:color w:val="808080"/>
    </w:rPr>
  </w:style>
  <w:style w:type="paragraph" w:styleId="Header">
    <w:name w:val="header"/>
    <w:basedOn w:val="Normal"/>
    <w:link w:val="HeaderChar"/>
    <w:uiPriority w:val="99"/>
    <w:unhideWhenUsed/>
    <w:rsid w:val="004B523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B523B"/>
    <w:rPr>
      <w:rFonts w:ascii="Times New Roman" w:eastAsia="NSimSun" w:hAnsi="Times New Roman" w:cs="Mangal"/>
      <w:sz w:val="24"/>
      <w:szCs w:val="21"/>
      <w:lang w:eastAsia="zh-CN" w:bidi="hi-IN"/>
    </w:rPr>
  </w:style>
  <w:style w:type="paragraph" w:styleId="Footer">
    <w:name w:val="footer"/>
    <w:basedOn w:val="Normal"/>
    <w:link w:val="FooterChar"/>
    <w:uiPriority w:val="99"/>
    <w:unhideWhenUsed/>
    <w:rsid w:val="004B523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B523B"/>
    <w:rPr>
      <w:rFonts w:ascii="Times New Roman" w:eastAsia="N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3</cp:revision>
  <dcterms:created xsi:type="dcterms:W3CDTF">2023-09-03T19:31:00Z</dcterms:created>
  <dcterms:modified xsi:type="dcterms:W3CDTF">2023-09-07T13:39:00Z</dcterms:modified>
</cp:coreProperties>
</file>