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D4C8D" w14:textId="1403295C" w:rsidR="003E7B98" w:rsidRPr="003E7B98" w:rsidRDefault="003E7B98" w:rsidP="003E7B98">
      <w:pPr>
        <w:jc w:val="center"/>
        <w:rPr>
          <w:b/>
          <w:bCs/>
          <w:sz w:val="32"/>
          <w:szCs w:val="32"/>
        </w:rPr>
      </w:pPr>
      <w:r>
        <w:rPr>
          <w:b/>
          <w:bCs/>
          <w:sz w:val="32"/>
          <w:szCs w:val="32"/>
        </w:rPr>
        <w:t>2.2)</w:t>
      </w:r>
    </w:p>
    <w:p w14:paraId="79CD6437" w14:textId="77777777" w:rsidR="003E7B98" w:rsidRDefault="003E7B98">
      <w:pPr>
        <w:rPr>
          <w:b/>
          <w:bCs/>
        </w:rPr>
      </w:pPr>
    </w:p>
    <w:p w14:paraId="72BD04C7" w14:textId="58566F02" w:rsidR="002F4066" w:rsidRDefault="003E7B98">
      <w:r>
        <w:rPr>
          <w:b/>
          <w:bCs/>
        </w:rPr>
        <w:t xml:space="preserve">2.2) </w:t>
      </w:r>
      <w:r w:rsidR="002F4066">
        <w:rPr>
          <w:b/>
          <w:bCs/>
        </w:rPr>
        <w:t>T</w:t>
      </w:r>
      <w:r w:rsidR="002F4066" w:rsidRPr="00332C32">
        <w:rPr>
          <w:b/>
          <w:bCs/>
        </w:rPr>
        <w:t>he Langmuir and BET theories</w:t>
      </w:r>
      <w:r w:rsidR="002F4066">
        <w:rPr>
          <w:b/>
          <w:bCs/>
        </w:rPr>
        <w:br/>
      </w:r>
    </w:p>
    <w:p w14:paraId="0D5F2629" w14:textId="64E733CB" w:rsidR="002F4066" w:rsidRDefault="002F4066">
      <w:r>
        <w:t>One could define a class of theories for physical adsorption as “Henry’s Law” theories.  That is</w:t>
      </w:r>
      <w:r w:rsidR="00F26431">
        <w:t>,</w:t>
      </w:r>
      <w:r>
        <w:t xml:space="preserve"> they predict the following:</w:t>
      </w:r>
    </w:p>
    <w:p w14:paraId="37C0B71C" w14:textId="77777777" w:rsidR="002F4066" w:rsidRDefault="002F4066" w:rsidP="002F4066">
      <w:pPr>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2F4066" w14:paraId="600B81C1" w14:textId="77777777" w:rsidTr="00767226">
        <w:tc>
          <w:tcPr>
            <w:tcW w:w="9350" w:type="dxa"/>
          </w:tcPr>
          <w:p w14:paraId="773D8B34" w14:textId="77777777" w:rsidR="002F4066" w:rsidRDefault="002F4066" w:rsidP="00767226">
            <w:pPr>
              <w:keepNext/>
              <w:jc w:val="both"/>
            </w:pPr>
          </w:p>
          <w:p w14:paraId="0F124886" w14:textId="77777777" w:rsidR="002F4066" w:rsidRDefault="002F4066" w:rsidP="00767226">
            <w:pPr>
              <w:keepNext/>
              <w:jc w:val="center"/>
            </w:pPr>
            <w:r>
              <w:rPr>
                <w:noProof/>
              </w:rPr>
              <w:drawing>
                <wp:inline distT="0" distB="0" distL="0" distR="0" wp14:anchorId="347DAD98" wp14:editId="547969F3">
                  <wp:extent cx="3713833" cy="514673"/>
                  <wp:effectExtent l="0" t="0" r="0" b="0"/>
                  <wp:docPr id="1099274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74193"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3833" cy="514673"/>
                          </a:xfrm>
                          <a:prstGeom prst="rect">
                            <a:avLst/>
                          </a:prstGeom>
                        </pic:spPr>
                      </pic:pic>
                    </a:graphicData>
                  </a:graphic>
                </wp:inline>
              </w:drawing>
            </w:r>
          </w:p>
          <w:p w14:paraId="4B74EF42" w14:textId="01FB1A1A" w:rsidR="002F4066" w:rsidRPr="003F7331" w:rsidRDefault="002F4066" w:rsidP="00767226">
            <w:pPr>
              <w:pStyle w:val="Caption"/>
              <w:jc w:val="center"/>
              <w:rPr>
                <w:sz w:val="24"/>
                <w:szCs w:val="24"/>
              </w:rPr>
            </w:pPr>
            <w:r w:rsidRPr="003F7331">
              <w:rPr>
                <w:sz w:val="24"/>
                <w:szCs w:val="24"/>
              </w:rPr>
              <w:t xml:space="preserve">Equation </w:t>
            </w:r>
            <w:r w:rsidRPr="003F7331">
              <w:rPr>
                <w:sz w:val="24"/>
                <w:szCs w:val="24"/>
              </w:rPr>
              <w:fldChar w:fldCharType="begin"/>
            </w:r>
            <w:r w:rsidRPr="003F7331">
              <w:rPr>
                <w:sz w:val="24"/>
                <w:szCs w:val="24"/>
              </w:rPr>
              <w:instrText xml:space="preserve"> SEQ Equation \* ARABIC </w:instrText>
            </w:r>
            <w:r w:rsidRPr="003F7331">
              <w:rPr>
                <w:sz w:val="24"/>
                <w:szCs w:val="24"/>
              </w:rPr>
              <w:fldChar w:fldCharType="separate"/>
            </w:r>
            <w:r w:rsidR="00E452DC">
              <w:rPr>
                <w:noProof/>
                <w:sz w:val="24"/>
                <w:szCs w:val="24"/>
              </w:rPr>
              <w:t>1</w:t>
            </w:r>
            <w:r w:rsidRPr="003F7331">
              <w:rPr>
                <w:sz w:val="24"/>
                <w:szCs w:val="24"/>
              </w:rPr>
              <w:fldChar w:fldCharType="end"/>
            </w:r>
            <w:r w:rsidRPr="003F7331">
              <w:rPr>
                <w:sz w:val="24"/>
                <w:szCs w:val="24"/>
              </w:rPr>
              <w:t xml:space="preserve"> The statement of </w:t>
            </w:r>
            <w:r w:rsidR="009F083B">
              <w:rPr>
                <w:sz w:val="24"/>
                <w:szCs w:val="24"/>
              </w:rPr>
              <w:t>“</w:t>
            </w:r>
            <w:r w:rsidRPr="003F7331">
              <w:rPr>
                <w:sz w:val="24"/>
                <w:szCs w:val="24"/>
              </w:rPr>
              <w:t>Henry's Law</w:t>
            </w:r>
            <w:r w:rsidR="009F083B">
              <w:rPr>
                <w:sz w:val="24"/>
                <w:szCs w:val="24"/>
              </w:rPr>
              <w:t>”</w:t>
            </w:r>
          </w:p>
        </w:tc>
      </w:tr>
    </w:tbl>
    <w:p w14:paraId="2DC87A03" w14:textId="25F58F55" w:rsidR="002F4066" w:rsidRDefault="002F4066">
      <w:r>
        <w:t>The symbolism here is:</w:t>
      </w:r>
    </w:p>
    <w:p w14:paraId="344E2EF3" w14:textId="77777777" w:rsidR="00E452DC" w:rsidRDefault="00E452DC" w:rsidP="00E452DC">
      <w:pPr>
        <w:jc w:val="both"/>
      </w:pPr>
      <w:r>
        <w:rPr>
          <w:i/>
          <w:iCs/>
        </w:rPr>
        <w:t xml:space="preserve">P = </w:t>
      </w:r>
      <w:r>
        <w:t xml:space="preserve">the adsorptive pressure </w:t>
      </w:r>
    </w:p>
    <w:p w14:paraId="255A2191" w14:textId="77777777" w:rsidR="002F4066" w:rsidRDefault="002F4066" w:rsidP="002F4066">
      <w:pPr>
        <w:jc w:val="both"/>
      </w:pPr>
      <w:r>
        <w:rPr>
          <w:i/>
          <w:iCs/>
        </w:rPr>
        <w:t>n</w:t>
      </w:r>
      <w:r w:rsidRPr="00962127">
        <w:rPr>
          <w:vertAlign w:val="subscript"/>
        </w:rPr>
        <w:t>ads</w:t>
      </w:r>
      <w:r>
        <w:t xml:space="preserve"> = moles of adsorbate</w:t>
      </w:r>
    </w:p>
    <w:p w14:paraId="0DC66E74" w14:textId="77777777" w:rsidR="002F4066" w:rsidRDefault="002F4066" w:rsidP="002F4066">
      <w:pPr>
        <w:jc w:val="both"/>
      </w:pPr>
      <w:r>
        <w:rPr>
          <w:i/>
          <w:iCs/>
        </w:rPr>
        <w:t>n</w:t>
      </w:r>
      <w:r>
        <w:rPr>
          <w:vertAlign w:val="subscript"/>
        </w:rPr>
        <w:t>m</w:t>
      </w:r>
      <w:r>
        <w:t xml:space="preserve"> = the maximum moles of adsorbate that can be in direct contact with the adsorbent surface</w:t>
      </w:r>
    </w:p>
    <w:p w14:paraId="1B8A57E1" w14:textId="244F6E95" w:rsidR="002F4066" w:rsidRDefault="00E452DC">
      <w:r>
        <w:t xml:space="preserve">The symbol </w:t>
      </w:r>
      <w:r w:rsidRPr="00E452DC">
        <w:rPr>
          <w:rFonts w:cs="Times New Roman"/>
          <w:i/>
          <w:iCs/>
        </w:rPr>
        <w:t>θ</w:t>
      </w:r>
      <w:r>
        <w:t xml:space="preserve"> is often used for the ratio </w:t>
      </w:r>
      <w:r>
        <w:rPr>
          <w:i/>
          <w:iCs/>
        </w:rPr>
        <w:t>n</w:t>
      </w:r>
      <w:r w:rsidRPr="00416BBA">
        <w:rPr>
          <w:vertAlign w:val="subscript"/>
        </w:rPr>
        <w:t>ads</w:t>
      </w:r>
      <w:r>
        <w:t>/</w:t>
      </w:r>
      <w:r>
        <w:rPr>
          <w:i/>
          <w:iCs/>
        </w:rPr>
        <w:t>n</w:t>
      </w:r>
      <w:r w:rsidRPr="00416BBA">
        <w:rPr>
          <w:vertAlign w:val="subscript"/>
        </w:rPr>
        <w:t>m</w:t>
      </w:r>
      <w:r>
        <w:t xml:space="preserve"> and is called the “coverage."</w:t>
      </w:r>
    </w:p>
    <w:p w14:paraId="32484B2B" w14:textId="77777777" w:rsidR="002F4066" w:rsidRDefault="002F4066"/>
    <w:p w14:paraId="199F3CD0" w14:textId="50096AE7" w:rsidR="002F4066" w:rsidRDefault="002F4066">
      <w:r>
        <w:t xml:space="preserve">Thus, the </w:t>
      </w:r>
      <w:r w:rsidR="009F083B">
        <w:t>“</w:t>
      </w:r>
      <w:r>
        <w:t>Henry’s Law</w:t>
      </w:r>
      <w:r w:rsidR="009F083B">
        <w:t>”</w:t>
      </w:r>
      <w:r>
        <w:t xml:space="preserve"> isotherm, theoretically, pass thru (</w:t>
      </w:r>
      <w:r>
        <w:rPr>
          <w:i/>
          <w:iCs/>
        </w:rPr>
        <w:t>n</w:t>
      </w:r>
      <w:r w:rsidRPr="002F4066">
        <w:rPr>
          <w:vertAlign w:val="subscript"/>
        </w:rPr>
        <w:t>ads</w:t>
      </w:r>
      <w:r>
        <w:t>,</w:t>
      </w:r>
      <w:r w:rsidR="00AB1F7F">
        <w:t xml:space="preserve"> </w:t>
      </w:r>
      <w:r>
        <w:rPr>
          <w:i/>
          <w:iCs/>
        </w:rPr>
        <w:t>P</w:t>
      </w:r>
      <w:r>
        <w:t>) = (0,0).  This class of theoretical isotherms is large, but the most well are described by the BET and Langmuir theories.  Looking at the BET: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2F4066" w14:paraId="10D70B53" w14:textId="77777777" w:rsidTr="00767226">
        <w:tc>
          <w:tcPr>
            <w:tcW w:w="9350" w:type="dxa"/>
          </w:tcPr>
          <w:p w14:paraId="4743B685" w14:textId="77777777" w:rsidR="002F4066" w:rsidRDefault="002F4066" w:rsidP="00767226">
            <w:pPr>
              <w:keepNext/>
              <w:spacing w:after="160" w:line="259" w:lineRule="auto"/>
              <w:jc w:val="center"/>
            </w:pPr>
            <w:r>
              <w:rPr>
                <w:kern w:val="2"/>
              </w:rPr>
              <w:object w:dxaOrig="6420" w:dyaOrig="1110" w14:anchorId="2A5A9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30.65pt" o:ole="">
                  <v:imagedata r:id="rId9" o:title=""/>
                </v:shape>
                <o:OLEObject Type="Embed" ProgID="Presentations.Drawing.21" ShapeID="_x0000_i1025" DrawAspect="Content" ObjectID="_1755756632" r:id="rId10"/>
              </w:object>
            </w:r>
          </w:p>
          <w:p w14:paraId="0BBDF119" w14:textId="26568F14" w:rsidR="002F4066" w:rsidRPr="007969F1" w:rsidRDefault="002F4066" w:rsidP="00767226">
            <w:pPr>
              <w:keepNext/>
              <w:spacing w:after="160" w:line="259" w:lineRule="auto"/>
              <w:jc w:val="center"/>
              <w:rPr>
                <w:i/>
                <w:iCs/>
              </w:rPr>
            </w:pPr>
            <w:r w:rsidRPr="007969F1">
              <w:rPr>
                <w:i/>
                <w:iCs/>
              </w:rPr>
              <w:t xml:space="preserve">Equation </w:t>
            </w:r>
            <w:r w:rsidRPr="007969F1">
              <w:rPr>
                <w:i/>
                <w:iCs/>
              </w:rPr>
              <w:fldChar w:fldCharType="begin"/>
            </w:r>
            <w:r w:rsidRPr="007969F1">
              <w:rPr>
                <w:i/>
                <w:iCs/>
              </w:rPr>
              <w:instrText xml:space="preserve"> SEQ Equation \* ARABIC </w:instrText>
            </w:r>
            <w:r w:rsidRPr="007969F1">
              <w:rPr>
                <w:i/>
                <w:iCs/>
              </w:rPr>
              <w:fldChar w:fldCharType="separate"/>
            </w:r>
            <w:r w:rsidR="00E452DC">
              <w:rPr>
                <w:i/>
                <w:iCs/>
                <w:noProof/>
              </w:rPr>
              <w:t>2</w:t>
            </w:r>
            <w:r w:rsidRPr="007969F1">
              <w:rPr>
                <w:i/>
                <w:iCs/>
              </w:rPr>
              <w:fldChar w:fldCharType="end"/>
            </w:r>
            <w:r w:rsidRPr="007969F1">
              <w:rPr>
                <w:i/>
                <w:iCs/>
              </w:rPr>
              <w:t xml:space="preserve"> the BET equation</w:t>
            </w:r>
          </w:p>
        </w:tc>
      </w:tr>
    </w:tbl>
    <w:p w14:paraId="40FC98B4" w14:textId="0F26E016" w:rsidR="002F4066" w:rsidRDefault="00E452DC" w:rsidP="002F4066">
      <w:pPr>
        <w:jc w:val="both"/>
      </w:pPr>
      <w:r>
        <w:t>Where:</w:t>
      </w:r>
    </w:p>
    <w:p w14:paraId="1E646501" w14:textId="77777777" w:rsidR="00AB1F7F" w:rsidRDefault="002F4066" w:rsidP="00E452DC">
      <w:r>
        <w:rPr>
          <w:i/>
          <w:iCs/>
        </w:rPr>
        <w:t>C</w:t>
      </w:r>
      <w:r>
        <w:t xml:space="preserve"> = The “BET </w:t>
      </w:r>
      <w:r>
        <w:rPr>
          <w:i/>
          <w:iCs/>
        </w:rPr>
        <w:t>C”</w:t>
      </w:r>
      <w:r>
        <w:t xml:space="preserve"> constant</w:t>
      </w:r>
      <w:r w:rsidR="00E452DC">
        <w:t xml:space="preserve"> which is arbitrary for each isotherm.  It is interpreted as equilibrium constant.  Notice that if </w:t>
      </w:r>
      <w:r w:rsidR="00E452DC">
        <w:rPr>
          <w:i/>
          <w:iCs/>
        </w:rPr>
        <w:t>P</w:t>
      </w:r>
      <w:r w:rsidR="00E452DC">
        <w:t xml:space="preserve"> = 0 then </w:t>
      </w:r>
      <w:r w:rsidR="00E452DC">
        <w:rPr>
          <w:i/>
          <w:iCs/>
        </w:rPr>
        <w:t>n</w:t>
      </w:r>
      <w:r w:rsidR="00E452DC" w:rsidRPr="00C13836">
        <w:rPr>
          <w:vertAlign w:val="subscript"/>
        </w:rPr>
        <w:t>ads</w:t>
      </w:r>
      <w:r w:rsidR="00E452DC">
        <w:t xml:space="preserve"> = 0 because the denominator on the right side is finite.  (Theoretically, </w:t>
      </w:r>
      <w:r w:rsidR="00C13836">
        <w:rPr>
          <w:i/>
          <w:iCs/>
        </w:rPr>
        <w:t>C</w:t>
      </w:r>
      <w:r w:rsidR="00C13836">
        <w:t xml:space="preserve"> &gt; 0 or the associated energy is an imaginary number or undefined.)</w:t>
      </w:r>
      <w:r w:rsidR="00383A46">
        <w:t xml:space="preserve">  </w:t>
      </w:r>
    </w:p>
    <w:p w14:paraId="2DE246BC" w14:textId="77777777" w:rsidR="00AB1F7F" w:rsidRDefault="00AB1F7F" w:rsidP="00E452DC"/>
    <w:p w14:paraId="09CF9367" w14:textId="456A48B3" w:rsidR="00AB1F7F" w:rsidRPr="00AB1F7F" w:rsidRDefault="00AB1F7F" w:rsidP="00E452DC">
      <w:r>
        <w:t xml:space="preserve">The Langmuir theory equation is the BET equation without the term (1 - </w:t>
      </w:r>
      <w:r>
        <w:rPr>
          <w:i/>
          <w:iCs/>
        </w:rPr>
        <w:t>X + CX</w:t>
      </w:r>
      <w:r>
        <w:t>).</w:t>
      </w:r>
    </w:p>
    <w:p w14:paraId="5D0C21B5" w14:textId="77777777" w:rsidR="00AB1F7F" w:rsidRDefault="00AB1F7F" w:rsidP="00E452DC"/>
    <w:p w14:paraId="357B0576" w14:textId="74D72168" w:rsidR="002F4066" w:rsidRDefault="00383A46" w:rsidP="00E452DC">
      <w:r>
        <w:t xml:space="preserve">In principle, to be a </w:t>
      </w:r>
      <w:r w:rsidR="009F083B">
        <w:t>“</w:t>
      </w:r>
      <w:r>
        <w:t>Henry’s Law</w:t>
      </w:r>
      <w:r w:rsidR="009F083B">
        <w:t>”</w:t>
      </w:r>
      <w:r>
        <w:t xml:space="preserve"> isotherm, </w:t>
      </w:r>
      <w:r>
        <w:rPr>
          <w:i/>
          <w:iCs/>
        </w:rPr>
        <w:t>X</w:t>
      </w:r>
      <w:r>
        <w:t xml:space="preserve"> and </w:t>
      </w:r>
      <w:r w:rsidRPr="00383A46">
        <w:rPr>
          <w:i/>
          <w:iCs/>
        </w:rPr>
        <w:t>θ</w:t>
      </w:r>
      <w:r>
        <w:t xml:space="preserve"> need to be raised to the same power.  There are other </w:t>
      </w:r>
      <w:r w:rsidR="00912436">
        <w:t>theories</w:t>
      </w:r>
      <w:r w:rsidR="00912436">
        <w:rPr>
          <w:rStyle w:val="FootnoteReference"/>
        </w:rPr>
        <w:footnoteReference w:id="1"/>
      </w:r>
      <w:r w:rsidR="00912436">
        <w:t xml:space="preserve"> w</w:t>
      </w:r>
      <w:r>
        <w:t>here the powers differ</w:t>
      </w:r>
      <w:r w:rsidR="00912436">
        <w:t>.</w:t>
      </w:r>
      <w:r>
        <w:t xml:space="preserve">  A</w:t>
      </w:r>
      <w:r w:rsidR="00AB1F7F">
        <w:t>n</w:t>
      </w:r>
      <w:r>
        <w:t xml:space="preserve"> example is Freundlich isotherm</w:t>
      </w:r>
      <w:r w:rsidR="00912436">
        <w:t xml:space="preserve"> equation</w:t>
      </w:r>
      <w:r>
        <w:t>.  However, these isotherm equations also predict that (</w:t>
      </w:r>
      <w:proofErr w:type="spellStart"/>
      <w:proofErr w:type="gramStart"/>
      <w:r>
        <w:rPr>
          <w:i/>
          <w:iCs/>
        </w:rPr>
        <w:t>n</w:t>
      </w:r>
      <w:r w:rsidRPr="002F4066">
        <w:rPr>
          <w:vertAlign w:val="subscript"/>
        </w:rPr>
        <w:t>ads</w:t>
      </w:r>
      <w:r>
        <w:t>,</w:t>
      </w:r>
      <w:r>
        <w:rPr>
          <w:i/>
          <w:iCs/>
        </w:rPr>
        <w:t>P</w:t>
      </w:r>
      <w:proofErr w:type="spellEnd"/>
      <w:proofErr w:type="gramEnd"/>
      <w:r>
        <w:t>) = (0,0).</w:t>
      </w:r>
    </w:p>
    <w:p w14:paraId="64A022CC" w14:textId="77777777" w:rsidR="00912436" w:rsidRDefault="00912436" w:rsidP="00E452DC"/>
    <w:p w14:paraId="06CD1483" w14:textId="0FF7BDC8" w:rsidR="00912436" w:rsidRDefault="00912436" w:rsidP="00E452DC">
      <w:r>
        <w:t>Above it was stated that there are ways to prove a hypothesis invalid:</w:t>
      </w:r>
    </w:p>
    <w:p w14:paraId="45DE4037" w14:textId="6ECF5D84" w:rsidR="00912436" w:rsidRDefault="00912436" w:rsidP="00912436">
      <w:pPr>
        <w:pStyle w:val="ListParagraph"/>
        <w:numPr>
          <w:ilvl w:val="0"/>
          <w:numId w:val="1"/>
        </w:numPr>
      </w:pPr>
      <w:r>
        <w:t>That the hypothesis predicts something that by observation is incorrect.  A single observation of the contradiction is logically enough for a disproof, but except for mathematics, is not convincing for those in the discipline.</w:t>
      </w:r>
    </w:p>
    <w:p w14:paraId="4C1C6032" w14:textId="02B112D8" w:rsidR="00912436" w:rsidRDefault="00912436" w:rsidP="00912436">
      <w:pPr>
        <w:pStyle w:val="ListParagraph"/>
        <w:numPr>
          <w:ilvl w:val="0"/>
          <w:numId w:val="1"/>
        </w:numPr>
      </w:pPr>
      <w:r>
        <w:lastRenderedPageBreak/>
        <w:t xml:space="preserve">That the hypothesis does not do as good a job fitting the data as another, simpler (Ockham’s razor) </w:t>
      </w:r>
      <w:r w:rsidR="00AB1F7F">
        <w:t>and more reliable hypothesis.</w:t>
      </w:r>
    </w:p>
    <w:p w14:paraId="6E7BDAB3" w14:textId="6F97F8DB" w:rsidR="00AB1F7F" w:rsidRDefault="00AB1F7F" w:rsidP="00AB1F7F">
      <w:r>
        <w:t>The second one is usually arrived at with statistics, but it should be overwhelming and convincing statistics and should not be a more complex hypothesis in terms of exceptions and required parameters.</w:t>
      </w:r>
    </w:p>
    <w:p w14:paraId="58BDAAD7" w14:textId="77777777" w:rsidR="006E72AC" w:rsidRDefault="006E72AC" w:rsidP="00AB1F7F"/>
    <w:p w14:paraId="351B15BC" w14:textId="0339D457" w:rsidR="006E72AC" w:rsidRDefault="006E72AC" w:rsidP="00AB1F7F">
      <w:r>
        <w:rPr>
          <w:b/>
          <w:bCs/>
        </w:rPr>
        <w:t xml:space="preserve">Observational Disproof of </w:t>
      </w:r>
      <w:r w:rsidR="009F083B">
        <w:rPr>
          <w:b/>
          <w:bCs/>
        </w:rPr>
        <w:t>“</w:t>
      </w:r>
      <w:r>
        <w:rPr>
          <w:b/>
          <w:bCs/>
        </w:rPr>
        <w:t>Henry’s Law</w:t>
      </w:r>
      <w:r w:rsidR="009F083B">
        <w:rPr>
          <w:b/>
          <w:bCs/>
        </w:rPr>
        <w:t>”</w:t>
      </w:r>
      <w:r>
        <w:rPr>
          <w:b/>
          <w:bCs/>
        </w:rPr>
        <w:t xml:space="preserve"> for physical adsorption.</w:t>
      </w:r>
    </w:p>
    <w:p w14:paraId="7BF97B60" w14:textId="77777777" w:rsidR="006E72AC" w:rsidRDefault="006E72AC" w:rsidP="00AB1F7F"/>
    <w:p w14:paraId="4DD8D84B" w14:textId="32C77FFF" w:rsidR="006E72AC" w:rsidRDefault="006E72AC" w:rsidP="00AB1F7F">
      <w:r>
        <w:t>The first thing to realize is that analogy is not a logical argument.  It might be a good learning tool but it should not be used to prove.  Thus, it is important to realize that Henry’s law does not apply to physical adsorption, it is formulated for solution chemistry with a companion law – Raoult's law.  For a single adsorbate, considerations for Raoult’s law in physisorption is impossible</w:t>
      </w:r>
      <w:r>
        <w:rPr>
          <w:rStyle w:val="EndnoteReference"/>
        </w:rPr>
        <w:endnoteReference w:id="1"/>
      </w:r>
      <w:r>
        <w:t>.</w:t>
      </w:r>
    </w:p>
    <w:p w14:paraId="0F413C6E" w14:textId="77777777" w:rsidR="006E72AC" w:rsidRDefault="006E72AC" w:rsidP="00AB1F7F"/>
    <w:p w14:paraId="0BA5E877" w14:textId="77777777" w:rsidR="00375E84" w:rsidRDefault="009F083B" w:rsidP="009F083B">
      <w:pPr>
        <w:spacing w:after="160" w:line="259" w:lineRule="auto"/>
      </w:pPr>
      <w:r>
        <w:t xml:space="preserve">To disprove this concept a few examples will be presented and reference to others given.  The first example is a very important publication for reasons other than “Henry’s law” disproof.  </w:t>
      </w:r>
    </w:p>
    <w:p w14:paraId="45F6712B" w14:textId="76D3E11D" w:rsidR="009F083B" w:rsidRPr="00E31306" w:rsidRDefault="009F083B" w:rsidP="009F083B">
      <w:pPr>
        <w:spacing w:after="160" w:line="259" w:lineRule="auto"/>
        <w:rPr>
          <w:rFonts w:cs="Times New Roman"/>
        </w:rPr>
      </w:pPr>
      <w:r w:rsidRPr="00A51D05">
        <w:rPr>
          <w:rFonts w:cs="Times New Roman"/>
          <w:i/>
          <w:iCs/>
        </w:rPr>
        <w:t>Example 1)</w:t>
      </w:r>
      <w:r w:rsidRPr="004327A6">
        <w:rPr>
          <w:rFonts w:eastAsiaTheme="minorHAnsi" w:cs="Times New Roman"/>
          <w:color w:val="000000" w:themeColor="text1"/>
          <w:kern w:val="0"/>
          <w:lang w:eastAsia="en-US" w:bidi="ar-SA"/>
        </w:rPr>
        <w:t xml:space="preserve"> </w:t>
      </w:r>
      <w:r>
        <w:rPr>
          <w:rFonts w:cs="Times New Roman"/>
          <w:i/>
          <w:iCs/>
        </w:rPr>
        <w:t xml:space="preserve">Data by Silvestre-Alberto, Silvestre-Alberto, Llewellyn and </w:t>
      </w:r>
      <w:r w:rsidRPr="00180ABE">
        <w:rPr>
          <w:rFonts w:eastAsiaTheme="minorHAnsi" w:cs="Times New Roman"/>
          <w:i/>
          <w:iCs/>
          <w:kern w:val="0"/>
          <w:lang w:eastAsia="en-US" w:bidi="ar-SA"/>
        </w:rPr>
        <w:t>Rodríguez</w:t>
      </w:r>
      <w:r>
        <w:rPr>
          <w:rFonts w:cs="Times New Roman"/>
          <w:i/>
          <w:iCs/>
        </w:rPr>
        <w:t>-Reinoso:</w:t>
      </w:r>
    </w:p>
    <w:p w14:paraId="34DFD0F3" w14:textId="673D8F1B" w:rsidR="009F083B" w:rsidRDefault="009F083B" w:rsidP="00375E84">
      <w:pPr>
        <w:autoSpaceDE w:val="0"/>
        <w:autoSpaceDN w:val="0"/>
        <w:adjustRightInd w:val="0"/>
        <w:rPr>
          <w:rFonts w:cs="Times New Roman"/>
        </w:rPr>
      </w:pPr>
      <w:r>
        <w:rPr>
          <w:rFonts w:eastAsiaTheme="minorHAnsi" w:cs="Times New Roman"/>
          <w:kern w:val="0"/>
          <w:lang w:eastAsia="en-US" w:bidi="ar-SA"/>
        </w:rPr>
        <w:t>The d</w:t>
      </w:r>
      <w:r w:rsidRPr="00173FF2">
        <w:rPr>
          <w:rFonts w:eastAsiaTheme="minorHAnsi" w:cs="Times New Roman"/>
          <w:kern w:val="0"/>
          <w:lang w:eastAsia="en-US" w:bidi="ar-SA"/>
        </w:rPr>
        <w:t xml:space="preserve">ata </w:t>
      </w:r>
      <w:r>
        <w:rPr>
          <w:rFonts w:eastAsiaTheme="minorHAnsi" w:cs="Times New Roman"/>
          <w:kern w:val="0"/>
          <w:lang w:eastAsia="en-US" w:bidi="ar-SA"/>
        </w:rPr>
        <w:t>of N</w:t>
      </w:r>
      <w:r w:rsidRPr="00277A8D">
        <w:rPr>
          <w:rFonts w:eastAsiaTheme="minorHAnsi" w:cs="Times New Roman"/>
          <w:kern w:val="0"/>
          <w:vertAlign w:val="subscript"/>
          <w:lang w:eastAsia="en-US" w:bidi="ar-SA"/>
        </w:rPr>
        <w:t>2</w:t>
      </w:r>
      <w:r>
        <w:rPr>
          <w:rFonts w:eastAsiaTheme="minorHAnsi" w:cs="Times New Roman"/>
          <w:kern w:val="0"/>
          <w:lang w:eastAsia="en-US" w:bidi="ar-SA"/>
        </w:rPr>
        <w:t xml:space="preserve"> adsorbed on porous carbon by </w:t>
      </w:r>
      <w:r w:rsidRPr="00173FF2">
        <w:rPr>
          <w:rFonts w:eastAsiaTheme="minorHAnsi" w:cs="Times New Roman"/>
          <w:kern w:val="0"/>
          <w:lang w:eastAsia="en-US" w:bidi="ar-SA"/>
        </w:rPr>
        <w:t>Silvestre-Albero, Silvestre-Albero, Llewellyn,</w:t>
      </w:r>
      <w:r>
        <w:rPr>
          <w:rFonts w:eastAsiaTheme="minorHAnsi" w:cs="Times New Roman"/>
          <w:kern w:val="0"/>
          <w:lang w:eastAsia="en-US" w:bidi="ar-SA"/>
        </w:rPr>
        <w:t xml:space="preserve"> </w:t>
      </w:r>
      <w:r w:rsidRPr="00173FF2">
        <w:rPr>
          <w:rFonts w:eastAsiaTheme="minorHAnsi" w:cs="Times New Roman"/>
          <w:kern w:val="0"/>
          <w:lang w:eastAsia="en-US" w:bidi="ar-SA"/>
        </w:rPr>
        <w:t>and Rodríguez-Reinoso</w:t>
      </w:r>
      <w:r w:rsidRPr="00173FF2">
        <w:rPr>
          <w:rStyle w:val="EndnoteReference"/>
          <w:rFonts w:eastAsiaTheme="minorHAnsi" w:cs="Times New Roman"/>
          <w:kern w:val="0"/>
          <w:lang w:eastAsia="en-US" w:bidi="ar-SA"/>
        </w:rPr>
        <w:endnoteReference w:id="2"/>
      </w:r>
      <w:r>
        <w:rPr>
          <w:rFonts w:eastAsiaTheme="minorHAnsi" w:cs="Times New Roman"/>
          <w:kern w:val="0"/>
          <w:lang w:eastAsia="en-US" w:bidi="ar-SA"/>
        </w:rPr>
        <w:t xml:space="preserve"> (AALR) evidences the threshold pressure at 2 x 10</w:t>
      </w:r>
      <w:r w:rsidRPr="00C852BE">
        <w:rPr>
          <w:rFonts w:eastAsiaTheme="minorHAnsi" w:cs="Times New Roman"/>
          <w:kern w:val="0"/>
          <w:vertAlign w:val="superscript"/>
          <w:lang w:eastAsia="en-US" w:bidi="ar-SA"/>
        </w:rPr>
        <w:t>-7</w:t>
      </w:r>
      <w:r>
        <w:rPr>
          <w:rFonts w:eastAsiaTheme="minorHAnsi" w:cs="Times New Roman"/>
          <w:kern w:val="0"/>
          <w:lang w:eastAsia="en-US" w:bidi="ar-SA"/>
        </w:rPr>
        <w:t xml:space="preserve"> bar</w:t>
      </w:r>
      <w:r>
        <w:rPr>
          <w:rFonts w:cs="Times New Roman"/>
        </w:rPr>
        <w:t>.  The adsorbent was microporous activate carbon (LMA233.)</w:t>
      </w:r>
      <w:r w:rsidR="00375E84">
        <w:rPr>
          <w:rFonts w:cs="Times New Roman"/>
        </w:rPr>
        <w:t xml:space="preserve">  </w:t>
      </w:r>
      <w:r>
        <w:rPr>
          <w:rFonts w:cs="Times New Roman"/>
        </w:rPr>
        <w:t xml:space="preserve">In </w:t>
      </w:r>
      <w:r>
        <w:rPr>
          <w:rFonts w:cs="Times New Roman"/>
          <w:i/>
          <w:iCs/>
        </w:rPr>
        <w:t>F</w:t>
      </w:r>
      <w:r w:rsidRPr="002A1CC4">
        <w:rPr>
          <w:rFonts w:cs="Times New Roman"/>
          <w:i/>
          <w:iCs/>
        </w:rPr>
        <w:t xml:space="preserve">igure </w:t>
      </w:r>
      <w:r w:rsidR="00375E84">
        <w:rPr>
          <w:rFonts w:cs="Times New Roman"/>
          <w:i/>
          <w:iCs/>
        </w:rPr>
        <w:t>1</w:t>
      </w:r>
      <w:r>
        <w:rPr>
          <w:rFonts w:cs="Times New Roman"/>
        </w:rPr>
        <w:t xml:space="preserve"> is a graph of data obtain for the referred to </w:t>
      </w:r>
      <w:r>
        <w:rPr>
          <w:rFonts w:eastAsiaTheme="minorHAnsi" w:cs="Times New Roman"/>
          <w:kern w:val="0"/>
          <w:lang w:eastAsia="en-US" w:bidi="ar-SA"/>
        </w:rPr>
        <w:t>AALR</w:t>
      </w:r>
      <w:r>
        <w:rPr>
          <w:rFonts w:cs="Times New Roman"/>
        </w:rPr>
        <w:t xml:space="preserve"> paper.</w:t>
      </w:r>
    </w:p>
    <w:tbl>
      <w:tblPr>
        <w:tblStyle w:val="TableGrid"/>
        <w:tblW w:w="0" w:type="auto"/>
        <w:tblLook w:val="04A0" w:firstRow="1" w:lastRow="0" w:firstColumn="1" w:lastColumn="0" w:noHBand="0" w:noVBand="1"/>
      </w:tblPr>
      <w:tblGrid>
        <w:gridCol w:w="9350"/>
      </w:tblGrid>
      <w:tr w:rsidR="009F083B" w14:paraId="129A4EF6" w14:textId="77777777" w:rsidTr="00767226">
        <w:tc>
          <w:tcPr>
            <w:tcW w:w="9350" w:type="dxa"/>
          </w:tcPr>
          <w:p w14:paraId="262228FB" w14:textId="77777777" w:rsidR="009F083B" w:rsidRDefault="009F083B" w:rsidP="009F083B">
            <w:pPr>
              <w:keepNext/>
              <w:jc w:val="center"/>
            </w:pPr>
            <w:r>
              <w:rPr>
                <w:noProof/>
              </w:rPr>
              <w:drawing>
                <wp:inline distT="0" distB="0" distL="0" distR="0" wp14:anchorId="7043DF5C" wp14:editId="76DCCE1F">
                  <wp:extent cx="4123890" cy="3324225"/>
                  <wp:effectExtent l="0" t="0" r="0" b="0"/>
                  <wp:docPr id="1749569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9501" name="Picture 174956950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2672" cy="3331304"/>
                          </a:xfrm>
                          <a:prstGeom prst="rect">
                            <a:avLst/>
                          </a:prstGeom>
                        </pic:spPr>
                      </pic:pic>
                    </a:graphicData>
                  </a:graphic>
                </wp:inline>
              </w:drawing>
            </w:r>
          </w:p>
          <w:p w14:paraId="034BEB9B" w14:textId="659DD0A9" w:rsidR="009F083B" w:rsidRPr="009F083B" w:rsidRDefault="009F083B" w:rsidP="00375E84">
            <w:pPr>
              <w:pStyle w:val="Caption"/>
              <w:rPr>
                <w:rFonts w:cs="Arial"/>
                <w:sz w:val="22"/>
                <w:szCs w:val="22"/>
              </w:rPr>
            </w:pPr>
            <w:r w:rsidRPr="00375E84">
              <w:rPr>
                <w:sz w:val="24"/>
                <w:szCs w:val="24"/>
              </w:rPr>
              <w:t xml:space="preserve">Figure </w:t>
            </w:r>
            <w:r w:rsidRPr="00375E84">
              <w:rPr>
                <w:sz w:val="24"/>
                <w:szCs w:val="24"/>
              </w:rPr>
              <w:fldChar w:fldCharType="begin"/>
            </w:r>
            <w:r w:rsidRPr="00375E84">
              <w:rPr>
                <w:sz w:val="24"/>
                <w:szCs w:val="24"/>
              </w:rPr>
              <w:instrText xml:space="preserve"> SEQ Figure \* ARABIC </w:instrText>
            </w:r>
            <w:r w:rsidRPr="00375E84">
              <w:rPr>
                <w:sz w:val="24"/>
                <w:szCs w:val="24"/>
              </w:rPr>
              <w:fldChar w:fldCharType="separate"/>
            </w:r>
            <w:r w:rsidR="008E472D">
              <w:rPr>
                <w:noProof/>
                <w:sz w:val="24"/>
                <w:szCs w:val="24"/>
              </w:rPr>
              <w:t>1</w:t>
            </w:r>
            <w:r w:rsidRPr="00375E84">
              <w:rPr>
                <w:sz w:val="24"/>
                <w:szCs w:val="24"/>
              </w:rPr>
              <w:fldChar w:fldCharType="end"/>
            </w:r>
            <w:r w:rsidR="00375E84" w:rsidRPr="00375E84">
              <w:rPr>
                <w:sz w:val="24"/>
                <w:szCs w:val="24"/>
              </w:rPr>
              <w:t xml:space="preserve"> </w:t>
            </w:r>
            <w:r w:rsidR="00375E84" w:rsidRPr="003E2CA0">
              <w:rPr>
                <w:sz w:val="24"/>
                <w:szCs w:val="24"/>
              </w:rPr>
              <w:t xml:space="preserve">Data by </w:t>
            </w:r>
            <w:r w:rsidR="00375E84" w:rsidRPr="003E2CA0">
              <w:rPr>
                <w:rFonts w:eastAsiaTheme="minorHAnsi" w:cs="Times New Roman"/>
                <w:sz w:val="24"/>
                <w:szCs w:val="24"/>
                <w:lang w:eastAsia="en-US" w:bidi="ar-SA"/>
              </w:rPr>
              <w:t>AALR on microporous carbon illustrating 1) effect of dead space gas and 2) clearly shows the threshold pressure.  This uses the</w:t>
            </w:r>
            <w:r w:rsidR="00375E84">
              <w:rPr>
                <w:rFonts w:eastAsiaTheme="minorHAnsi" w:cs="Times New Roman"/>
                <w:sz w:val="24"/>
                <w:szCs w:val="24"/>
                <w:lang w:eastAsia="en-US" w:bidi="ar-SA"/>
              </w:rPr>
              <w:t xml:space="preserve"> log-law, one of the important </w:t>
            </w:r>
            <w:proofErr w:type="gramStart"/>
            <w:r w:rsidR="00375E84">
              <w:rPr>
                <w:rFonts w:eastAsiaTheme="minorHAnsi" w:cs="Times New Roman"/>
                <w:sz w:val="24"/>
                <w:szCs w:val="24"/>
                <w:lang w:eastAsia="en-US" w:bidi="ar-SA"/>
              </w:rPr>
              <w:t>law</w:t>
            </w:r>
            <w:proofErr w:type="gramEnd"/>
            <w:r w:rsidR="00375E84">
              <w:rPr>
                <w:rFonts w:eastAsiaTheme="minorHAnsi" w:cs="Times New Roman"/>
                <w:sz w:val="24"/>
                <w:szCs w:val="24"/>
                <w:lang w:eastAsia="en-US" w:bidi="ar-SA"/>
              </w:rPr>
              <w:t xml:space="preserve"> associated with the modern hypotheses.</w:t>
            </w:r>
            <w:r>
              <w:t xml:space="preserve">  </w:t>
            </w:r>
          </w:p>
        </w:tc>
      </w:tr>
    </w:tbl>
    <w:p w14:paraId="3D2E92C9" w14:textId="77777777" w:rsidR="00375E84" w:rsidRDefault="00375E84" w:rsidP="00375E84">
      <w:pPr>
        <w:autoSpaceDE w:val="0"/>
        <w:autoSpaceDN w:val="0"/>
        <w:adjustRightInd w:val="0"/>
        <w:rPr>
          <w:rFonts w:cs="Times New Roman"/>
        </w:rPr>
      </w:pPr>
    </w:p>
    <w:p w14:paraId="3EC1FD50" w14:textId="77777777" w:rsidR="00375E84" w:rsidRPr="00A4523D" w:rsidRDefault="00375E84" w:rsidP="00375E84">
      <w:pPr>
        <w:keepNext/>
      </w:pPr>
      <w:r>
        <w:lastRenderedPageBreak/>
        <w:t>They also observed a threshold pressure for the adsorption of N</w:t>
      </w:r>
      <w:r w:rsidRPr="00C852BE">
        <w:rPr>
          <w:vertAlign w:val="subscript"/>
        </w:rPr>
        <w:t>2</w:t>
      </w:r>
      <w:r>
        <w:t xml:space="preserve"> adsorbed</w:t>
      </w:r>
      <w:r w:rsidRPr="00B441A3">
        <w:rPr>
          <w:rFonts w:cs="Times New Roman"/>
        </w:rPr>
        <w:t xml:space="preserve"> on </w:t>
      </w:r>
      <w:r w:rsidRPr="00B441A3">
        <w:rPr>
          <w:rFonts w:eastAsiaTheme="minorHAnsi" w:cs="Times New Roman"/>
          <w:kern w:val="0"/>
          <w:lang w:eastAsia="en-US" w:bidi="ar-SA"/>
        </w:rPr>
        <w:t>ordered mesoporous silica SBA-15</w:t>
      </w:r>
      <w:r>
        <w:rPr>
          <w:rFonts w:eastAsiaTheme="minorHAnsi" w:cs="Times New Roman"/>
          <w:kern w:val="0"/>
          <w:lang w:eastAsia="en-US" w:bidi="ar-SA"/>
        </w:rPr>
        <w:t xml:space="preserve"> at ~2 x 10</w:t>
      </w:r>
      <w:r w:rsidRPr="00B441A3">
        <w:rPr>
          <w:rFonts w:eastAsiaTheme="minorHAnsi" w:cs="Times New Roman"/>
          <w:kern w:val="0"/>
          <w:vertAlign w:val="superscript"/>
          <w:lang w:eastAsia="en-US" w:bidi="ar-SA"/>
        </w:rPr>
        <w:t>-6</w:t>
      </w:r>
      <w:r>
        <w:rPr>
          <w:rFonts w:eastAsiaTheme="minorHAnsi" w:cs="Times New Roman"/>
          <w:kern w:val="0"/>
          <w:lang w:eastAsia="en-US" w:bidi="ar-SA"/>
        </w:rPr>
        <w:t xml:space="preserve"> bar and</w:t>
      </w:r>
      <w:r w:rsidRPr="00B441A3">
        <w:rPr>
          <w:rFonts w:eastAsiaTheme="minorHAnsi" w:cs="Times New Roman"/>
          <w:kern w:val="0"/>
          <w:lang w:eastAsia="en-US" w:bidi="ar-SA"/>
        </w:rPr>
        <w:t xml:space="preserve"> on activated carbon DD52</w:t>
      </w:r>
      <w:r>
        <w:rPr>
          <w:rFonts w:eastAsiaTheme="minorHAnsi" w:cs="Times New Roman"/>
          <w:kern w:val="0"/>
          <w:lang w:eastAsia="en-US" w:bidi="ar-SA"/>
        </w:rPr>
        <w:t xml:space="preserve"> at ~6.5 x 10</w:t>
      </w:r>
      <w:r w:rsidRPr="00B441A3">
        <w:rPr>
          <w:rFonts w:eastAsiaTheme="minorHAnsi" w:cs="Times New Roman"/>
          <w:kern w:val="0"/>
          <w:vertAlign w:val="superscript"/>
          <w:lang w:eastAsia="en-US" w:bidi="ar-SA"/>
        </w:rPr>
        <w:t>-6</w:t>
      </w:r>
      <w:r>
        <w:rPr>
          <w:rFonts w:eastAsiaTheme="minorHAnsi" w:cs="Times New Roman"/>
          <w:kern w:val="0"/>
          <w:lang w:eastAsia="en-US" w:bidi="ar-SA"/>
        </w:rPr>
        <w:t xml:space="preserve"> bar.</w:t>
      </w:r>
    </w:p>
    <w:p w14:paraId="331FCD2A" w14:textId="77777777" w:rsidR="00375E84" w:rsidRDefault="00375E84" w:rsidP="00375E84">
      <w:pPr>
        <w:spacing w:after="160" w:line="259" w:lineRule="auto"/>
      </w:pPr>
      <w:r>
        <w:t>Although the purpose of this paper was to warn researcher how to handle “dead space” gas out-gassing, as a side issue it clearly shows the threshold pressure in the high vacuum range.</w:t>
      </w:r>
    </w:p>
    <w:p w14:paraId="4B8D5210" w14:textId="6AE0E700" w:rsidR="002F4066" w:rsidRDefault="00375E84" w:rsidP="00375E84">
      <w:pPr>
        <w:spacing w:after="160" w:line="259" w:lineRule="auto"/>
      </w:pPr>
      <w:r>
        <w:t xml:space="preserve">The graph by </w:t>
      </w:r>
      <w:r>
        <w:rPr>
          <w:rFonts w:eastAsiaTheme="minorHAnsi" w:cs="Times New Roman"/>
          <w:kern w:val="0"/>
          <w:lang w:eastAsia="en-US" w:bidi="ar-SA"/>
        </w:rPr>
        <w:t>AALR</w:t>
      </w:r>
      <w:r>
        <w:t xml:space="preserve"> shows the isotherm as a log-law.  This law is predicted from the modern hypothesis model for adsorption that is physically restricted to one monolayer. (See</w:t>
      </w:r>
      <w:r w:rsidRPr="00375E84">
        <w:t xml:space="preserve"> derivations</w:t>
      </w:r>
      <w:r>
        <w:t xml:space="preserve"> below.)  Notice that the data points are not ending at (</w:t>
      </w:r>
      <w:proofErr w:type="spellStart"/>
      <w:proofErr w:type="gramStart"/>
      <w:r>
        <w:rPr>
          <w:i/>
          <w:iCs/>
        </w:rPr>
        <w:t>n</w:t>
      </w:r>
      <w:r w:rsidRPr="00180ABE">
        <w:rPr>
          <w:vertAlign w:val="subscript"/>
        </w:rPr>
        <w:t>ads</w:t>
      </w:r>
      <w:r>
        <w:t>,X</w:t>
      </w:r>
      <w:proofErr w:type="spellEnd"/>
      <w:proofErr w:type="gramEnd"/>
      <w:r>
        <w:t>) = (0,0), but end at (0,~2</w:t>
      </w:r>
      <w:r>
        <w:rPr>
          <w:rFonts w:cs="Times New Roman"/>
        </w:rPr>
        <w:t>×</w:t>
      </w:r>
      <w:r>
        <w:t>10</w:t>
      </w:r>
      <w:r w:rsidRPr="00A31A88">
        <w:rPr>
          <w:vertAlign w:val="superscript"/>
        </w:rPr>
        <w:t>-7</w:t>
      </w:r>
      <w:r>
        <w:t>).</w:t>
      </w:r>
    </w:p>
    <w:p w14:paraId="024BC5C6" w14:textId="77777777" w:rsidR="00375E84" w:rsidRPr="00A51D05" w:rsidRDefault="00375E84" w:rsidP="00375E84">
      <w:pPr>
        <w:pStyle w:val="Caption"/>
        <w:rPr>
          <w:color w:val="auto"/>
          <w:sz w:val="24"/>
          <w:szCs w:val="24"/>
        </w:rPr>
      </w:pPr>
      <w:r w:rsidRPr="00A51D05">
        <w:rPr>
          <w:color w:val="auto"/>
          <w:sz w:val="24"/>
          <w:szCs w:val="24"/>
        </w:rPr>
        <w:t xml:space="preserve">Example </w:t>
      </w:r>
      <w:r>
        <w:rPr>
          <w:color w:val="auto"/>
          <w:sz w:val="24"/>
          <w:szCs w:val="24"/>
        </w:rPr>
        <w:t>2</w:t>
      </w:r>
      <w:r w:rsidRPr="00A51D05">
        <w:rPr>
          <w:color w:val="auto"/>
          <w:sz w:val="24"/>
          <w:szCs w:val="24"/>
        </w:rPr>
        <w:t xml:space="preserve">) The Nguyen and Du </w:t>
      </w:r>
      <w:r>
        <w:rPr>
          <w:color w:val="auto"/>
          <w:sz w:val="24"/>
          <w:szCs w:val="24"/>
        </w:rPr>
        <w:t>D</w:t>
      </w:r>
      <w:r w:rsidRPr="00A51D05">
        <w:rPr>
          <w:color w:val="auto"/>
          <w:sz w:val="24"/>
          <w:szCs w:val="24"/>
        </w:rPr>
        <w:t>ata.</w:t>
      </w:r>
    </w:p>
    <w:p w14:paraId="2FEEF80D" w14:textId="77777777" w:rsidR="00375E84" w:rsidRPr="001C4938" w:rsidRDefault="00375E84" w:rsidP="00375E84">
      <w:pPr>
        <w:pStyle w:val="Caption"/>
        <w:rPr>
          <w:i w:val="0"/>
          <w:iCs w:val="0"/>
          <w:color w:val="auto"/>
          <w:sz w:val="24"/>
          <w:szCs w:val="24"/>
        </w:rPr>
      </w:pPr>
    </w:p>
    <w:p w14:paraId="7DAECA43" w14:textId="48558C8D" w:rsidR="00375E84" w:rsidRDefault="00375E84" w:rsidP="00375E84">
      <w:pPr>
        <w:spacing w:after="160" w:line="259" w:lineRule="auto"/>
      </w:pPr>
      <w:r w:rsidRPr="001C4938">
        <w:t>The threshold pressure can be seen from the data by Nguyen and D</w:t>
      </w:r>
      <w:r w:rsidR="00523126">
        <w:t>o</w:t>
      </w:r>
      <w:r w:rsidRPr="001C4938">
        <w:rPr>
          <w:rStyle w:val="EndnoteReference"/>
        </w:rPr>
        <w:endnoteReference w:id="3"/>
      </w:r>
      <w:r w:rsidRPr="001C4938">
        <w:t xml:space="preserve">, of argon adsorbed on microporous carbon. This is shown in </w:t>
      </w:r>
      <w:r>
        <w:rPr>
          <w:i/>
          <w:iCs/>
        </w:rPr>
        <w:t>F</w:t>
      </w:r>
      <w:r w:rsidRPr="008F6C04">
        <w:rPr>
          <w:i/>
          <w:iCs/>
        </w:rPr>
        <w:t xml:space="preserve">igure </w:t>
      </w:r>
      <w:r>
        <w:rPr>
          <w:i/>
          <w:iCs/>
        </w:rPr>
        <w:t>2</w:t>
      </w:r>
      <w:r w:rsidRPr="001C4938">
        <w:t xml:space="preserve"> or directly in their figure four.</w:t>
      </w:r>
    </w:p>
    <w:tbl>
      <w:tblPr>
        <w:tblStyle w:val="TableGrid"/>
        <w:tblW w:w="0" w:type="auto"/>
        <w:tblLook w:val="04A0" w:firstRow="1" w:lastRow="0" w:firstColumn="1" w:lastColumn="0" w:noHBand="0" w:noVBand="1"/>
      </w:tblPr>
      <w:tblGrid>
        <w:gridCol w:w="9350"/>
      </w:tblGrid>
      <w:tr w:rsidR="008E472D" w14:paraId="64C5C163" w14:textId="77777777" w:rsidTr="00767226">
        <w:tc>
          <w:tcPr>
            <w:tcW w:w="9350" w:type="dxa"/>
          </w:tcPr>
          <w:p w14:paraId="54C2307C" w14:textId="77777777" w:rsidR="008E472D" w:rsidRDefault="008E472D" w:rsidP="008E472D">
            <w:pPr>
              <w:pStyle w:val="Caption"/>
              <w:keepNext/>
            </w:pPr>
            <w:r>
              <w:rPr>
                <w:noProof/>
              </w:rPr>
              <w:drawing>
                <wp:inline distT="0" distB="0" distL="0" distR="0" wp14:anchorId="1198DA72" wp14:editId="3000F4F9">
                  <wp:extent cx="5791200" cy="1962785"/>
                  <wp:effectExtent l="0" t="0" r="0" b="0"/>
                  <wp:docPr id="1918596263" name="Picture 191859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91200" cy="1962785"/>
                          </a:xfrm>
                          <a:prstGeom prst="rect">
                            <a:avLst/>
                          </a:prstGeom>
                        </pic:spPr>
                      </pic:pic>
                    </a:graphicData>
                  </a:graphic>
                </wp:inline>
              </w:drawing>
            </w:r>
          </w:p>
          <w:p w14:paraId="0C9254A4" w14:textId="6D3FFA6B" w:rsidR="008E472D" w:rsidRPr="00845C16" w:rsidRDefault="008E472D" w:rsidP="008E472D">
            <w:pPr>
              <w:pStyle w:val="Caption"/>
              <w:rPr>
                <w:i w:val="0"/>
                <w:iCs w:val="0"/>
                <w:color w:val="auto"/>
                <w:sz w:val="24"/>
                <w:szCs w:val="24"/>
              </w:rPr>
            </w:pPr>
            <w:r w:rsidRPr="008E472D">
              <w:rPr>
                <w:sz w:val="24"/>
                <w:szCs w:val="24"/>
              </w:rPr>
              <w:t xml:space="preserve">Figure </w:t>
            </w:r>
            <w:r w:rsidRPr="008E472D">
              <w:rPr>
                <w:sz w:val="24"/>
                <w:szCs w:val="24"/>
              </w:rPr>
              <w:fldChar w:fldCharType="begin"/>
            </w:r>
            <w:r w:rsidRPr="008E472D">
              <w:rPr>
                <w:sz w:val="24"/>
                <w:szCs w:val="24"/>
              </w:rPr>
              <w:instrText xml:space="preserve"> SEQ Figure \* ARABIC </w:instrText>
            </w:r>
            <w:r w:rsidRPr="008E472D">
              <w:rPr>
                <w:sz w:val="24"/>
                <w:szCs w:val="24"/>
              </w:rPr>
              <w:fldChar w:fldCharType="separate"/>
            </w:r>
            <w:r w:rsidRPr="008E472D">
              <w:rPr>
                <w:noProof/>
                <w:sz w:val="24"/>
                <w:szCs w:val="24"/>
              </w:rPr>
              <w:t>2</w:t>
            </w:r>
            <w:r w:rsidRPr="008E472D">
              <w:rPr>
                <w:sz w:val="24"/>
                <w:szCs w:val="24"/>
              </w:rPr>
              <w:fldChar w:fldCharType="end"/>
            </w:r>
            <w:r w:rsidRPr="008E472D">
              <w:rPr>
                <w:sz w:val="24"/>
                <w:szCs w:val="24"/>
              </w:rPr>
              <w:t xml:space="preserve">  </w:t>
            </w:r>
            <w:r w:rsidRPr="00845C16">
              <w:rPr>
                <w:sz w:val="24"/>
                <w:szCs w:val="24"/>
              </w:rPr>
              <w:t>Date by Nguyen and D</w:t>
            </w:r>
            <w:r w:rsidR="00523126">
              <w:rPr>
                <w:sz w:val="24"/>
                <w:szCs w:val="24"/>
              </w:rPr>
              <w:t>o</w:t>
            </w:r>
            <w:r w:rsidRPr="00845C16">
              <w:rPr>
                <w:sz w:val="24"/>
                <w:szCs w:val="24"/>
              </w:rPr>
              <w:t xml:space="preserve"> of nitrogen adsorbed on microporous carbon.  The grey line in the log-law fit (1st layer) the black line in the Δχ plot is the external area line.  The vertical line in the log-law plot is approximately where the external line fit</w:t>
            </w:r>
            <w:commentRangeStart w:id="0"/>
            <w:commentRangeEnd w:id="0"/>
            <w:r>
              <w:rPr>
                <w:rStyle w:val="CommentReference"/>
                <w:i w:val="0"/>
                <w:iCs w:val="0"/>
                <w:color w:val="auto"/>
                <w:kern w:val="2"/>
              </w:rPr>
              <w:commentReference w:id="0"/>
            </w:r>
          </w:p>
        </w:tc>
      </w:tr>
    </w:tbl>
    <w:p w14:paraId="0D7E2327" w14:textId="77777777" w:rsidR="008E472D" w:rsidRDefault="008E472D" w:rsidP="00375E84">
      <w:pPr>
        <w:spacing w:after="160" w:line="259" w:lineRule="auto"/>
      </w:pPr>
    </w:p>
    <w:p w14:paraId="0CDC05F5" w14:textId="3B17414C" w:rsidR="008E472D" w:rsidRDefault="008E472D" w:rsidP="00375E84">
      <w:pPr>
        <w:spacing w:after="160" w:line="259" w:lineRule="auto"/>
      </w:pPr>
      <w:r w:rsidRPr="00845C16">
        <w:t>The grey line in the log-law fit (1st layer) the black line in the Δχ plot is the external area line.  The vertical line in the log-law plot is approximately where the external line fit</w:t>
      </w:r>
    </w:p>
    <w:p w14:paraId="35925E62" w14:textId="0A6D9A2D" w:rsidR="00375E84" w:rsidRDefault="00375E84" w:rsidP="00375E84">
      <w:pPr>
        <w:spacing w:after="160" w:line="259" w:lineRule="auto"/>
      </w:pPr>
      <w:r>
        <w:t>From the data one can obtain the</w:t>
      </w:r>
      <w:r w:rsidR="008E472D">
        <w:t xml:space="preserve"> total</w:t>
      </w:r>
      <w:r>
        <w:t xml:space="preserve"> monolayer coverage for the pores</w:t>
      </w:r>
      <w:r w:rsidR="008E472D">
        <w:t xml:space="preserve"> and external area</w:t>
      </w:r>
      <w:r>
        <w:t>,</w:t>
      </w:r>
      <w:r w:rsidR="008E472D">
        <w:t xml:space="preserve"> </w:t>
      </w:r>
      <w:r w:rsidR="008E472D">
        <w:rPr>
          <w:i/>
          <w:iCs/>
        </w:rPr>
        <w:t>n</w:t>
      </w:r>
      <w:r w:rsidR="008E472D" w:rsidRPr="00CE6E47">
        <w:rPr>
          <w:vertAlign w:val="subscript"/>
        </w:rPr>
        <w:t>m</w:t>
      </w:r>
      <w:r w:rsidR="008E472D">
        <w:t>,</w:t>
      </w:r>
      <w:r>
        <w:t xml:space="preserve"> the volume of the pores, </w:t>
      </w:r>
      <w:r w:rsidR="008E472D">
        <w:rPr>
          <w:i/>
          <w:iCs/>
        </w:rPr>
        <w:t>n</w:t>
      </w:r>
      <w:r w:rsidR="008E472D" w:rsidRPr="00292B01">
        <w:rPr>
          <w:vertAlign w:val="subscript"/>
        </w:rPr>
        <w:t>pore</w:t>
      </w:r>
      <w:r w:rsidR="008E472D">
        <w:t xml:space="preserve">, </w:t>
      </w:r>
      <w:r>
        <w:t xml:space="preserve">the parameter </w:t>
      </w:r>
      <w:r>
        <w:rPr>
          <w:i/>
          <w:iCs/>
        </w:rPr>
        <w:t>E</w:t>
      </w:r>
      <w:r w:rsidRPr="00CE6E47">
        <w:rPr>
          <w:vertAlign w:val="subscript"/>
        </w:rPr>
        <w:t>a</w:t>
      </w:r>
      <w:r>
        <w:t>, the energy of the first adsorbate molecule</w:t>
      </w:r>
      <w:r w:rsidR="008E472D">
        <w:t xml:space="preserve"> (from </w:t>
      </w:r>
      <w:r w:rsidR="008E472D" w:rsidRPr="00CE6E47">
        <w:rPr>
          <w:rFonts w:cs="Times New Roman"/>
        </w:rPr>
        <w:t>χ</w:t>
      </w:r>
      <w:r w:rsidR="008E472D" w:rsidRPr="00CE6E47">
        <w:rPr>
          <w:rFonts w:cs="Times New Roman"/>
          <w:vertAlign w:val="subscript"/>
        </w:rPr>
        <w:t>ς</w:t>
      </w:r>
      <w:r w:rsidR="008E472D">
        <w:rPr>
          <w:rFonts w:cs="Times New Roman"/>
        </w:rPr>
        <w:t xml:space="preserve"> a threshold parameter</w:t>
      </w:r>
      <w:r>
        <w:t>,</w:t>
      </w:r>
      <w:r w:rsidR="008E472D">
        <w:t>)</w:t>
      </w:r>
      <w:r>
        <w:t xml:space="preserve"> and the external monolayer equivalence</w:t>
      </w:r>
      <w:r w:rsidR="008E472D">
        <w:t xml:space="preserve">, </w:t>
      </w:r>
      <w:proofErr w:type="gramStart"/>
      <w:r w:rsidR="008E472D" w:rsidRPr="00292B01">
        <w:rPr>
          <w:i/>
          <w:iCs/>
        </w:rPr>
        <w:t>n</w:t>
      </w:r>
      <w:r w:rsidR="008E472D" w:rsidRPr="00292B01">
        <w:rPr>
          <w:vertAlign w:val="subscript"/>
        </w:rPr>
        <w:t>m,ext</w:t>
      </w:r>
      <w:proofErr w:type="gramEnd"/>
      <w:r>
        <w:t>:</w:t>
      </w:r>
    </w:p>
    <w:p w14:paraId="4B3B9AC3" w14:textId="77777777" w:rsidR="00375E84" w:rsidRPr="00292B01" w:rsidRDefault="00375E84" w:rsidP="00375E84">
      <w:pPr>
        <w:spacing w:after="160" w:line="259" w:lineRule="auto"/>
        <w:jc w:val="both"/>
      </w:pPr>
      <w:r>
        <w:rPr>
          <w:i/>
          <w:iCs/>
        </w:rPr>
        <w:t>n</w:t>
      </w:r>
      <w:r w:rsidRPr="00CE6E47">
        <w:rPr>
          <w:vertAlign w:val="subscript"/>
        </w:rPr>
        <w:t>m</w:t>
      </w:r>
      <w:r>
        <w:t xml:space="preserve"> = 8.25 </w:t>
      </w:r>
      <w:r>
        <w:rPr>
          <w:rFonts w:cs="Times New Roman"/>
        </w:rPr>
        <w:t>±</w:t>
      </w:r>
      <w:r>
        <w:t xml:space="preserve"> 0.019 (0.24 % full range)</w:t>
      </w:r>
      <w:r w:rsidRPr="00292B01">
        <w:t xml:space="preserve"> </w:t>
      </w:r>
      <w:r>
        <w:t>mmol g</w:t>
      </w:r>
      <w:r w:rsidRPr="00292B01">
        <w:rPr>
          <w:vertAlign w:val="superscript"/>
        </w:rPr>
        <w:t>-1</w:t>
      </w:r>
    </w:p>
    <w:p w14:paraId="48ACF76B" w14:textId="77777777" w:rsidR="00375E84" w:rsidRDefault="00375E84" w:rsidP="00375E84">
      <w:pPr>
        <w:spacing w:after="160" w:line="259" w:lineRule="auto"/>
        <w:jc w:val="both"/>
      </w:pPr>
      <w:r w:rsidRPr="00CE6E47">
        <w:rPr>
          <w:rFonts w:cs="Times New Roman"/>
        </w:rPr>
        <w:t>χ</w:t>
      </w:r>
      <w:r w:rsidRPr="00CE6E47">
        <w:rPr>
          <w:rFonts w:cs="Times New Roman"/>
          <w:vertAlign w:val="subscript"/>
        </w:rPr>
        <w:t>ς</w:t>
      </w:r>
      <w:r>
        <w:t xml:space="preserve"> = -2.7118 </w:t>
      </w:r>
      <w:r>
        <w:rPr>
          <w:rFonts w:cs="Times New Roman"/>
        </w:rPr>
        <w:t xml:space="preserve">→ </w:t>
      </w:r>
      <w:r w:rsidRPr="00CE6E47">
        <w:rPr>
          <w:i/>
          <w:iCs/>
        </w:rPr>
        <w:t>E</w:t>
      </w:r>
      <w:r w:rsidRPr="00292B01">
        <w:rPr>
          <w:vertAlign w:val="subscript"/>
        </w:rPr>
        <w:t>a</w:t>
      </w:r>
      <w:r>
        <w:t xml:space="preserve"> = -9.76 kJ mol</w:t>
      </w:r>
      <w:r w:rsidRPr="00292B01">
        <w:rPr>
          <w:vertAlign w:val="superscript"/>
        </w:rPr>
        <w:t>-1</w:t>
      </w:r>
    </w:p>
    <w:p w14:paraId="2E9C8FC6" w14:textId="77777777" w:rsidR="00375E84" w:rsidRDefault="00375E84" w:rsidP="00375E84">
      <w:pPr>
        <w:spacing w:after="160" w:line="259" w:lineRule="auto"/>
        <w:jc w:val="both"/>
      </w:pPr>
      <w:r>
        <w:rPr>
          <w:i/>
          <w:iCs/>
        </w:rPr>
        <w:t>n</w:t>
      </w:r>
      <w:r w:rsidRPr="00292B01">
        <w:rPr>
          <w:vertAlign w:val="subscript"/>
        </w:rPr>
        <w:t>pore</w:t>
      </w:r>
      <w:r>
        <w:t xml:space="preserve"> = 6.91 </w:t>
      </w:r>
      <w:r>
        <w:rPr>
          <w:rFonts w:cs="Times New Roman"/>
        </w:rPr>
        <w:t>±</w:t>
      </w:r>
      <w:r>
        <w:t xml:space="preserve"> .028 (0.34 % full range) mmol g</w:t>
      </w:r>
      <w:r w:rsidRPr="00292B01">
        <w:rPr>
          <w:vertAlign w:val="superscript"/>
        </w:rPr>
        <w:t>-1</w:t>
      </w:r>
      <w:r>
        <w:t xml:space="preserve"> </w:t>
      </w:r>
    </w:p>
    <w:p w14:paraId="474478D8" w14:textId="77777777" w:rsidR="00375E84" w:rsidRDefault="00375E84" w:rsidP="00375E84">
      <w:pPr>
        <w:spacing w:after="160" w:line="259" w:lineRule="auto"/>
        <w:jc w:val="both"/>
      </w:pPr>
      <w:proofErr w:type="gramStart"/>
      <w:r w:rsidRPr="00292B01">
        <w:rPr>
          <w:i/>
          <w:iCs/>
        </w:rPr>
        <w:t>n</w:t>
      </w:r>
      <w:r w:rsidRPr="00292B01">
        <w:rPr>
          <w:vertAlign w:val="subscript"/>
        </w:rPr>
        <w:t>m,ext</w:t>
      </w:r>
      <w:proofErr w:type="gramEnd"/>
      <w:r w:rsidRPr="00292B01">
        <w:t xml:space="preserve"> = 0.26 </w:t>
      </w:r>
      <w:r>
        <w:rPr>
          <w:rFonts w:cs="Times New Roman"/>
        </w:rPr>
        <w:t>±</w:t>
      </w:r>
      <w:r>
        <w:t xml:space="preserve"> .0077 (0.094 % full range) mmol g</w:t>
      </w:r>
      <w:r w:rsidRPr="00292B01">
        <w:rPr>
          <w:vertAlign w:val="superscript"/>
        </w:rPr>
        <w:t>-1</w:t>
      </w:r>
    </w:p>
    <w:p w14:paraId="6720B788" w14:textId="77777777" w:rsidR="001A18B9" w:rsidRDefault="001A18B9" w:rsidP="00375E84">
      <w:pPr>
        <w:spacing w:after="160" w:line="259" w:lineRule="auto"/>
        <w:jc w:val="both"/>
      </w:pPr>
    </w:p>
    <w:p w14:paraId="28DCCF1C" w14:textId="6E9E5279" w:rsidR="00375E84" w:rsidRDefault="00375E84" w:rsidP="00375E84">
      <w:pPr>
        <w:spacing w:after="160" w:line="259" w:lineRule="auto"/>
        <w:jc w:val="both"/>
      </w:pPr>
      <w:r>
        <w:lastRenderedPageBreak/>
        <w:t xml:space="preserve">By the self-imposed of criteria of </w:t>
      </w:r>
      <w:r>
        <w:rPr>
          <w:rFonts w:cs="Times New Roman"/>
        </w:rPr>
        <w:t xml:space="preserve">σ &lt; 1 % full range </w:t>
      </w:r>
      <w:r>
        <w:t>used for QM fits, these values of 0.24 % are relatively precise.</w:t>
      </w:r>
      <w:r w:rsidR="008E472D">
        <w:t xml:space="preserve">  </w:t>
      </w:r>
      <w:r w:rsidR="001A18B9">
        <w:t>All t</w:t>
      </w:r>
      <w:r w:rsidR="008E472D">
        <w:t>hese values were obtained using the modern hypothes</w:t>
      </w:r>
      <w:r w:rsidR="001A18B9">
        <w:t>e</w:t>
      </w:r>
      <w:r w:rsidR="008E472D">
        <w:t>s.</w:t>
      </w:r>
    </w:p>
    <w:p w14:paraId="01C5F8BC" w14:textId="69D3B7F9" w:rsidR="00642924" w:rsidRDefault="00642924" w:rsidP="00642924">
      <w:pPr>
        <w:spacing w:after="160" w:line="259" w:lineRule="auto"/>
      </w:pPr>
      <w:r>
        <w:t xml:space="preserve">Although some additional information can be extracted from these plots, the important points is that they obviously intersect the abscissa making </w:t>
      </w:r>
      <w:r>
        <w:rPr>
          <w:i/>
          <w:iCs/>
        </w:rPr>
        <w:t>n</w:t>
      </w:r>
      <w:r>
        <w:t xml:space="preserve"> &gt; 0 at some low but finite pressure</w:t>
      </w:r>
      <w:r w:rsidR="00C337E9">
        <w:t xml:space="preserve">.  This is the concept of “threshold pressure” and is given the symbol </w:t>
      </w:r>
      <w:r w:rsidR="00C337E9">
        <w:rPr>
          <w:i/>
          <w:iCs/>
        </w:rPr>
        <w:t>P</w:t>
      </w:r>
      <w:r w:rsidR="008F36F2">
        <w:rPr>
          <w:vertAlign w:val="subscript"/>
        </w:rPr>
        <w:t>ς</w:t>
      </w:r>
      <w:r w:rsidR="008F36F2">
        <w:t>.  This concept is critical for the modern hypotheses and critical in disproving all the “Henry’s Law” isotherms, which is why it has been so controversial and an excuse to reject these hypotheses.</w:t>
      </w:r>
    </w:p>
    <w:p w14:paraId="6132F49E" w14:textId="379DDFCE" w:rsidR="008F36F2" w:rsidRDefault="008F36F2" w:rsidP="00642924">
      <w:pPr>
        <w:spacing w:after="160" w:line="259" w:lineRule="auto"/>
      </w:pPr>
      <w:r>
        <w:t>There is more to be said about this and additional disproofs after the derivations of the hypotheses.</w:t>
      </w:r>
    </w:p>
    <w:p w14:paraId="43B32BF8" w14:textId="77777777" w:rsidR="005E7D64" w:rsidRDefault="005E7D64" w:rsidP="00642924">
      <w:pPr>
        <w:spacing w:after="160" w:line="259" w:lineRule="auto"/>
      </w:pPr>
    </w:p>
    <w:p w14:paraId="6E83E21C" w14:textId="0EB1D77B" w:rsidR="005E7D64" w:rsidRDefault="005E7D64" w:rsidP="00642924">
      <w:pPr>
        <w:spacing w:after="160" w:line="259" w:lineRule="auto"/>
        <w:rPr>
          <w:b/>
          <w:bCs/>
        </w:rPr>
      </w:pPr>
      <w:r>
        <w:rPr>
          <w:b/>
          <w:bCs/>
        </w:rPr>
        <w:t>Conclusion:</w:t>
      </w:r>
    </w:p>
    <w:p w14:paraId="5BD6E779" w14:textId="3C32EDEE" w:rsidR="005E7D64" w:rsidRPr="005E7D64" w:rsidRDefault="005E7D64" w:rsidP="005E7D64">
      <w:pPr>
        <w:autoSpaceDE w:val="0"/>
        <w:autoSpaceDN w:val="0"/>
        <w:adjustRightInd w:val="0"/>
        <w:rPr>
          <w:rFonts w:eastAsiaTheme="minorHAnsi" w:cs="Times New Roman"/>
          <w:kern w:val="0"/>
          <w:lang w:eastAsia="en-US" w:bidi="ar-SA"/>
        </w:rPr>
      </w:pPr>
      <w:r>
        <w:rPr>
          <w:rFonts w:eastAsiaTheme="minorHAnsi" w:cs="Times New Roman"/>
          <w:kern w:val="0"/>
          <w:lang w:val="en-CA" w:eastAsia="en-US" w:bidi="ar-SA"/>
        </w:rPr>
        <w:t>I</w:t>
      </w:r>
      <w:r w:rsidRPr="005E7D64">
        <w:rPr>
          <w:rFonts w:eastAsiaTheme="minorHAnsi" w:cs="Times New Roman"/>
          <w:kern w:val="0"/>
          <w:lang w:val="en-CA" w:eastAsia="en-US" w:bidi="ar-SA"/>
        </w:rPr>
        <w:fldChar w:fldCharType="begin"/>
      </w:r>
      <w:r w:rsidRPr="005E7D64">
        <w:rPr>
          <w:rFonts w:eastAsiaTheme="minorHAnsi" w:cs="Times New Roman"/>
          <w:kern w:val="0"/>
          <w:lang w:val="en-CA" w:eastAsia="en-US" w:bidi="ar-SA"/>
        </w:rPr>
        <w:instrText xml:space="preserve"> SEQ CHAPTER \h \r 1</w:instrText>
      </w:r>
      <w:r w:rsidRPr="005E7D64">
        <w:rPr>
          <w:rFonts w:eastAsiaTheme="minorHAnsi" w:cs="Times New Roman"/>
          <w:kern w:val="0"/>
          <w:lang w:val="en-CA" w:eastAsia="en-US" w:bidi="ar-SA"/>
        </w:rPr>
        <w:fldChar w:fldCharType="end"/>
      </w:r>
      <w:r w:rsidRPr="005E7D64">
        <w:rPr>
          <w:rFonts w:eastAsiaTheme="minorHAnsi" w:cs="Times New Roman"/>
          <w:kern w:val="0"/>
          <w:lang w:eastAsia="en-US" w:bidi="ar-SA"/>
        </w:rPr>
        <w:t xml:space="preserve">n the above it should be clear that a localized isotherm theory, of which there are many, must follow “Henry’s law.”  They all depend upon a site-adsorbate “complex” which leads to a multiplicative expression at low pressures.  If </w:t>
      </w:r>
      <w:r w:rsidRPr="005E7D64">
        <w:rPr>
          <w:rFonts w:eastAsiaTheme="minorHAnsi" w:cs="Times New Roman"/>
          <w:kern w:val="0"/>
          <w:u w:val="single"/>
          <w:lang w:eastAsia="en-US" w:bidi="ar-SA"/>
        </w:rPr>
        <w:t>any</w:t>
      </w:r>
      <w:r w:rsidRPr="005E7D64">
        <w:rPr>
          <w:rFonts w:eastAsiaTheme="minorHAnsi" w:cs="Times New Roman"/>
          <w:kern w:val="0"/>
          <w:lang w:eastAsia="en-US" w:bidi="ar-SA"/>
        </w:rPr>
        <w:t xml:space="preserve"> isotherm demonstrates that the condition started above, that is </w:t>
      </w:r>
      <w:r w:rsidRPr="005E7D64">
        <w:rPr>
          <w:rFonts w:eastAsiaTheme="minorHAnsi" w:cs="Times New Roman"/>
          <w:i/>
          <w:iCs/>
          <w:kern w:val="0"/>
          <w:lang w:eastAsia="en-US" w:bidi="ar-SA"/>
        </w:rPr>
        <w:t>P</w:t>
      </w:r>
      <w:r w:rsidRPr="005E7D64">
        <w:rPr>
          <w:rFonts w:eastAsiaTheme="minorHAnsi" w:cs="Times New Roman"/>
          <w:kern w:val="0"/>
          <w:lang w:eastAsia="en-US" w:bidi="ar-SA"/>
        </w:rPr>
        <w:t xml:space="preserve"> → 0 if and only if θ →0, is not true, then this disproves all “Henry’s” law type physisorption isotherms.  They are proven indisputably false without major revisions.</w:t>
      </w:r>
    </w:p>
    <w:p w14:paraId="51C58B56" w14:textId="77777777" w:rsidR="005E7D64" w:rsidRPr="005E7D64" w:rsidRDefault="005E7D64" w:rsidP="00642924">
      <w:pPr>
        <w:spacing w:after="160" w:line="259" w:lineRule="auto"/>
        <w:rPr>
          <w:b/>
          <w:bCs/>
        </w:rPr>
      </w:pPr>
    </w:p>
    <w:sectPr w:rsidR="005E7D64" w:rsidRPr="005E7D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Condon" w:date="2023-07-06T12:50:00Z" w:initials="JC">
    <w:p w14:paraId="2B5372B4" w14:textId="3B6429E6" w:rsidR="008E472D" w:rsidRDefault="008E472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537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1372A" w16cex:dateUtc="2023-07-06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372B4" w16cid:durableId="285137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76DE" w14:textId="77777777" w:rsidR="00A07590" w:rsidRDefault="00A07590" w:rsidP="00912436">
      <w:r>
        <w:separator/>
      </w:r>
    </w:p>
  </w:endnote>
  <w:endnote w:type="continuationSeparator" w:id="0">
    <w:p w14:paraId="76AA035A" w14:textId="77777777" w:rsidR="00A07590" w:rsidRDefault="00A07590" w:rsidP="00912436">
      <w:r>
        <w:continuationSeparator/>
      </w:r>
    </w:p>
  </w:endnote>
  <w:endnote w:id="1">
    <w:p w14:paraId="2A863460" w14:textId="706F23BD" w:rsidR="006E72AC" w:rsidRDefault="006E72AC">
      <w:pPr>
        <w:pStyle w:val="EndnoteText"/>
      </w:pPr>
      <w:r>
        <w:rPr>
          <w:rStyle w:val="EndnoteReference"/>
        </w:rPr>
        <w:endnoteRef/>
      </w:r>
      <w:r>
        <w:t xml:space="preserve"> Why is this being stated.  It</w:t>
      </w:r>
      <w:r w:rsidR="009F083B">
        <w:t xml:space="preserve"> i</w:t>
      </w:r>
      <w:r>
        <w:t>s because reviewers and other researcher</w:t>
      </w:r>
      <w:r w:rsidR="009F083B">
        <w:t>s</w:t>
      </w:r>
      <w:r>
        <w:t xml:space="preserve"> unfortunately get deceived by the language.</w:t>
      </w:r>
      <w:r w:rsidR="009F083B">
        <w:t xml:space="preserve">  To emphasize the point ”Henry’s Law” will continue to be placed in quotes.</w:t>
      </w:r>
    </w:p>
  </w:endnote>
  <w:endnote w:id="2">
    <w:p w14:paraId="0FDC654A" w14:textId="77777777" w:rsidR="009F083B" w:rsidRDefault="009F083B" w:rsidP="009F083B">
      <w:pPr>
        <w:autoSpaceDE w:val="0"/>
        <w:autoSpaceDN w:val="0"/>
        <w:adjustRightInd w:val="0"/>
        <w:rPr>
          <w:color w:val="000000" w:themeColor="text1"/>
        </w:rPr>
      </w:pPr>
    </w:p>
    <w:p w14:paraId="15267C43" w14:textId="77777777" w:rsidR="009F083B" w:rsidRPr="004327A6" w:rsidRDefault="009F083B" w:rsidP="009F083B">
      <w:pPr>
        <w:autoSpaceDE w:val="0"/>
        <w:autoSpaceDN w:val="0"/>
        <w:adjustRightInd w:val="0"/>
        <w:rPr>
          <w:rFonts w:eastAsiaTheme="minorHAnsi" w:cs="Times New Roman"/>
          <w:color w:val="000000" w:themeColor="text1"/>
          <w:kern w:val="0"/>
          <w:lang w:eastAsia="en-US" w:bidi="ar-SA"/>
        </w:rPr>
      </w:pPr>
      <w:r w:rsidRPr="004327A6">
        <w:rPr>
          <w:rStyle w:val="EndnoteReference"/>
          <w:color w:val="000000" w:themeColor="text1"/>
        </w:rPr>
        <w:endnoteRef/>
      </w:r>
      <w:r w:rsidRPr="004327A6">
        <w:rPr>
          <w:color w:val="000000" w:themeColor="text1"/>
        </w:rPr>
        <w:t xml:space="preserve"> </w:t>
      </w:r>
      <w:r w:rsidRPr="004327A6">
        <w:rPr>
          <w:rFonts w:eastAsiaTheme="minorHAnsi" w:cs="Times New Roman"/>
          <w:color w:val="000000" w:themeColor="text1"/>
          <w:kern w:val="0"/>
          <w:lang w:eastAsia="en-US" w:bidi="ar-SA"/>
        </w:rPr>
        <w:t>J</w:t>
      </w:r>
      <w:r>
        <w:rPr>
          <w:rFonts w:eastAsiaTheme="minorHAnsi" w:cs="Times New Roman"/>
          <w:color w:val="000000" w:themeColor="text1"/>
          <w:kern w:val="0"/>
          <w:lang w:eastAsia="en-US" w:bidi="ar-SA"/>
        </w:rPr>
        <w:t xml:space="preserve">. </w:t>
      </w:r>
      <w:r w:rsidRPr="004327A6">
        <w:rPr>
          <w:rFonts w:eastAsiaTheme="minorHAnsi" w:cs="Times New Roman"/>
          <w:color w:val="000000" w:themeColor="text1"/>
          <w:kern w:val="0"/>
          <w:lang w:eastAsia="en-US" w:bidi="ar-SA"/>
        </w:rPr>
        <w:t>Silvestre-Albero, A</w:t>
      </w:r>
      <w:r>
        <w:rPr>
          <w:rFonts w:eastAsiaTheme="minorHAnsi" w:cs="Times New Roman"/>
          <w:color w:val="000000" w:themeColor="text1"/>
          <w:kern w:val="0"/>
          <w:lang w:eastAsia="en-US" w:bidi="ar-SA"/>
        </w:rPr>
        <w:t>.</w:t>
      </w:r>
      <w:r w:rsidRPr="004327A6">
        <w:rPr>
          <w:rFonts w:eastAsiaTheme="minorHAnsi" w:cs="Times New Roman"/>
          <w:color w:val="000000" w:themeColor="text1"/>
          <w:kern w:val="0"/>
          <w:lang w:eastAsia="en-US" w:bidi="ar-SA"/>
        </w:rPr>
        <w:t xml:space="preserve"> M. Silvestre-Albero, Philip L. Llewellyn,</w:t>
      </w:r>
      <w:r>
        <w:rPr>
          <w:rFonts w:eastAsiaTheme="minorHAnsi" w:cs="Times New Roman"/>
          <w:color w:val="000000" w:themeColor="text1"/>
          <w:kern w:val="0"/>
          <w:lang w:eastAsia="en-US" w:bidi="ar-SA"/>
        </w:rPr>
        <w:t xml:space="preserve"> </w:t>
      </w:r>
      <w:r w:rsidRPr="004327A6">
        <w:rPr>
          <w:rFonts w:eastAsiaTheme="minorHAnsi" w:cs="Times New Roman"/>
          <w:color w:val="000000" w:themeColor="text1"/>
          <w:kern w:val="0"/>
          <w:lang w:eastAsia="en-US" w:bidi="ar-SA"/>
        </w:rPr>
        <w:t xml:space="preserve">and Francisco Rodríguez-Reinoso, J. Phys. Chem., C (2013,) </w:t>
      </w:r>
      <w:r w:rsidRPr="004327A6">
        <w:rPr>
          <w:rFonts w:eastAsiaTheme="minorHAnsi" w:cs="Times New Roman"/>
          <w:b/>
          <w:bCs/>
          <w:color w:val="000000" w:themeColor="text1"/>
          <w:kern w:val="0"/>
          <w:lang w:eastAsia="en-US" w:bidi="ar-SA"/>
        </w:rPr>
        <w:t>117</w:t>
      </w:r>
      <w:r w:rsidRPr="004327A6">
        <w:rPr>
          <w:rFonts w:eastAsiaTheme="minorHAnsi" w:cs="Times New Roman"/>
          <w:color w:val="000000" w:themeColor="text1"/>
          <w:kern w:val="0"/>
          <w:lang w:eastAsia="en-US" w:bidi="ar-SA"/>
        </w:rPr>
        <w:t>, 16885</w:t>
      </w:r>
      <w:r w:rsidRPr="004327A6">
        <w:rPr>
          <w:rFonts w:eastAsia="AdvOT8608a8d1+22" w:cs="Times New Roman"/>
          <w:color w:val="000000" w:themeColor="text1"/>
          <w:kern w:val="0"/>
          <w:lang w:eastAsia="en-US" w:bidi="ar-SA"/>
        </w:rPr>
        <w:t>−</w:t>
      </w:r>
      <w:r w:rsidRPr="004327A6">
        <w:rPr>
          <w:rFonts w:eastAsiaTheme="minorHAnsi" w:cs="Times New Roman"/>
          <w:color w:val="000000" w:themeColor="text1"/>
          <w:kern w:val="0"/>
          <w:lang w:eastAsia="en-US" w:bidi="ar-SA"/>
        </w:rPr>
        <w:t>16889</w:t>
      </w:r>
    </w:p>
    <w:p w14:paraId="0079C88C" w14:textId="77777777" w:rsidR="009F083B" w:rsidRPr="004327A6" w:rsidRDefault="009F083B" w:rsidP="009F083B">
      <w:pPr>
        <w:pStyle w:val="EndnoteText"/>
        <w:rPr>
          <w:rFonts w:cs="Times New Roman"/>
          <w:color w:val="000000" w:themeColor="text1"/>
          <w:sz w:val="24"/>
          <w:szCs w:val="24"/>
        </w:rPr>
      </w:pPr>
    </w:p>
  </w:endnote>
  <w:endnote w:id="3">
    <w:p w14:paraId="3A023A71" w14:textId="66B50F10" w:rsidR="00375E84" w:rsidRPr="004327A6" w:rsidRDefault="00375E84" w:rsidP="00375E84">
      <w:pPr>
        <w:pStyle w:val="EndnoteText"/>
        <w:rPr>
          <w:rFonts w:eastAsiaTheme="minorHAnsi" w:cs="Times New Roman"/>
          <w:color w:val="000000" w:themeColor="text1"/>
          <w:kern w:val="0"/>
          <w:sz w:val="24"/>
          <w:szCs w:val="24"/>
          <w:lang w:eastAsia="en-US" w:bidi="ar-SA"/>
        </w:rPr>
      </w:pPr>
      <w:r w:rsidRPr="004327A6">
        <w:rPr>
          <w:rStyle w:val="EndnoteReference"/>
          <w:color w:val="000000" w:themeColor="text1"/>
        </w:rPr>
        <w:endnoteRef/>
      </w:r>
      <w:r w:rsidRPr="004327A6">
        <w:rPr>
          <w:color w:val="000000" w:themeColor="text1"/>
        </w:rPr>
        <w:t xml:space="preserve"> </w:t>
      </w:r>
      <w:r w:rsidRPr="004327A6">
        <w:rPr>
          <w:color w:val="000000" w:themeColor="text1"/>
          <w:sz w:val="24"/>
          <w:szCs w:val="24"/>
        </w:rPr>
        <w:t>C. Nguyen and D. D. D</w:t>
      </w:r>
      <w:r w:rsidR="00523126">
        <w:rPr>
          <w:color w:val="000000" w:themeColor="text1"/>
          <w:sz w:val="24"/>
          <w:szCs w:val="24"/>
        </w:rPr>
        <w:t>o</w:t>
      </w:r>
      <w:r w:rsidRPr="004327A6">
        <w:rPr>
          <w:color w:val="000000" w:themeColor="text1"/>
          <w:sz w:val="24"/>
          <w:szCs w:val="24"/>
        </w:rPr>
        <w:t>,</w:t>
      </w:r>
      <w:r w:rsidRPr="004327A6">
        <w:rPr>
          <w:rFonts w:eastAsiaTheme="minorHAnsi" w:cs="Times New Roman"/>
          <w:color w:val="000000" w:themeColor="text1"/>
          <w:kern w:val="0"/>
          <w:sz w:val="24"/>
          <w:szCs w:val="24"/>
          <w:lang w:eastAsia="en-US" w:bidi="ar-SA"/>
        </w:rPr>
        <w:t xml:space="preserve"> Carbon </w:t>
      </w:r>
      <w:r w:rsidRPr="004327A6">
        <w:rPr>
          <w:rFonts w:eastAsiaTheme="minorHAnsi" w:cs="Times New Roman"/>
          <w:b/>
          <w:bCs/>
          <w:color w:val="000000" w:themeColor="text1"/>
          <w:kern w:val="0"/>
          <w:sz w:val="24"/>
          <w:szCs w:val="24"/>
          <w:lang w:eastAsia="en-US" w:bidi="ar-SA"/>
        </w:rPr>
        <w:t>39</w:t>
      </w:r>
      <w:r w:rsidRPr="004327A6">
        <w:rPr>
          <w:rFonts w:eastAsiaTheme="minorHAnsi" w:cs="Times New Roman"/>
          <w:color w:val="000000" w:themeColor="text1"/>
          <w:kern w:val="0"/>
          <w:sz w:val="24"/>
          <w:szCs w:val="24"/>
          <w:lang w:eastAsia="en-US" w:bidi="ar-SA"/>
        </w:rPr>
        <w:t xml:space="preserve"> (2001) 1327–1336</w:t>
      </w:r>
    </w:p>
    <w:p w14:paraId="0288CFA8" w14:textId="77777777" w:rsidR="00375E84" w:rsidRPr="004327A6" w:rsidRDefault="00375E84" w:rsidP="00375E84">
      <w:pPr>
        <w:pStyle w:val="EndnoteText"/>
        <w:rPr>
          <w:color w:val="000000" w:themeColor="text1"/>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14B5" w14:textId="77777777" w:rsidR="00A07590" w:rsidRDefault="00A07590" w:rsidP="00912436">
      <w:r>
        <w:separator/>
      </w:r>
    </w:p>
  </w:footnote>
  <w:footnote w:type="continuationSeparator" w:id="0">
    <w:p w14:paraId="1C573D3D" w14:textId="77777777" w:rsidR="00A07590" w:rsidRDefault="00A07590" w:rsidP="00912436">
      <w:r>
        <w:continuationSeparator/>
      </w:r>
    </w:p>
  </w:footnote>
  <w:footnote w:id="1">
    <w:p w14:paraId="2FABCDF4" w14:textId="7D03927D" w:rsidR="00912436" w:rsidRDefault="00912436">
      <w:pPr>
        <w:pStyle w:val="FootnoteText"/>
      </w:pPr>
      <w:r>
        <w:rPr>
          <w:rStyle w:val="FootnoteReference"/>
        </w:rPr>
        <w:footnoteRef/>
      </w:r>
      <w:r>
        <w:t xml:space="preserve"> The word “theory” is used much to loosely in the adsorption language.  For most the word “law” would be more appropriate and for generalized proposals the word “hypothesis” is more appropriate.  We will stick to “hypothesis” since we are talking in generalities.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E2A"/>
    <w:multiLevelType w:val="hybridMultilevel"/>
    <w:tmpl w:val="7B04A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31A6B"/>
    <w:multiLevelType w:val="hybridMultilevel"/>
    <w:tmpl w:val="42D2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202206">
    <w:abstractNumId w:val="1"/>
  </w:num>
  <w:num w:numId="2" w16cid:durableId="10079469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Condon">
    <w15:presenceInfo w15:providerId="Windows Live" w15:userId="27c2e54b87626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6"/>
    <w:rsid w:val="00077CDB"/>
    <w:rsid w:val="000E6DA7"/>
    <w:rsid w:val="00174FC3"/>
    <w:rsid w:val="001A18B9"/>
    <w:rsid w:val="001D4172"/>
    <w:rsid w:val="002902A4"/>
    <w:rsid w:val="002F4066"/>
    <w:rsid w:val="00375E84"/>
    <w:rsid w:val="00383A46"/>
    <w:rsid w:val="003E7B98"/>
    <w:rsid w:val="00452DD0"/>
    <w:rsid w:val="00522B3C"/>
    <w:rsid w:val="00523126"/>
    <w:rsid w:val="005E7D64"/>
    <w:rsid w:val="00642924"/>
    <w:rsid w:val="006E72AC"/>
    <w:rsid w:val="008C0CE7"/>
    <w:rsid w:val="008E472D"/>
    <w:rsid w:val="008F36F2"/>
    <w:rsid w:val="00912436"/>
    <w:rsid w:val="009F083B"/>
    <w:rsid w:val="00A07590"/>
    <w:rsid w:val="00AB1F7F"/>
    <w:rsid w:val="00AF5897"/>
    <w:rsid w:val="00C13836"/>
    <w:rsid w:val="00C337E9"/>
    <w:rsid w:val="00CF66E7"/>
    <w:rsid w:val="00D4273A"/>
    <w:rsid w:val="00D535AF"/>
    <w:rsid w:val="00E452DC"/>
    <w:rsid w:val="00F26431"/>
    <w:rsid w:val="00F8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51BC"/>
  <w15:chartTrackingRefBased/>
  <w15:docId w15:val="{572626D2-45D3-471C-A14A-9381CA7D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72"/>
    <w:pPr>
      <w:spacing w:after="0" w:line="240" w:lineRule="auto"/>
    </w:pPr>
    <w:rPr>
      <w:rFonts w:ascii="Times New Roman" w:eastAsia="NSimSun" w:hAnsi="Times New Roman" w:cs="Ari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06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4066"/>
    <w:pPr>
      <w:spacing w:after="200"/>
    </w:pPr>
    <w:rPr>
      <w:rFonts w:cs="Mangal"/>
      <w:i/>
      <w:iCs/>
      <w:color w:val="44546A" w:themeColor="text2"/>
      <w:sz w:val="18"/>
      <w:szCs w:val="16"/>
    </w:rPr>
  </w:style>
  <w:style w:type="paragraph" w:styleId="FootnoteText">
    <w:name w:val="footnote text"/>
    <w:basedOn w:val="Normal"/>
    <w:link w:val="FootnoteTextChar"/>
    <w:uiPriority w:val="99"/>
    <w:semiHidden/>
    <w:unhideWhenUsed/>
    <w:rsid w:val="00912436"/>
    <w:rPr>
      <w:rFonts w:cs="Mangal"/>
      <w:sz w:val="20"/>
      <w:szCs w:val="18"/>
    </w:rPr>
  </w:style>
  <w:style w:type="character" w:customStyle="1" w:styleId="FootnoteTextChar">
    <w:name w:val="Footnote Text Char"/>
    <w:basedOn w:val="DefaultParagraphFont"/>
    <w:link w:val="FootnoteText"/>
    <w:uiPriority w:val="99"/>
    <w:semiHidden/>
    <w:rsid w:val="00912436"/>
    <w:rPr>
      <w:rFonts w:ascii="Times New Roman" w:eastAsia="NSimSun" w:hAnsi="Times New Roman" w:cs="Mangal"/>
      <w:sz w:val="20"/>
      <w:szCs w:val="18"/>
      <w:lang w:eastAsia="zh-CN" w:bidi="hi-IN"/>
    </w:rPr>
  </w:style>
  <w:style w:type="character" w:styleId="FootnoteReference">
    <w:name w:val="footnote reference"/>
    <w:basedOn w:val="DefaultParagraphFont"/>
    <w:uiPriority w:val="99"/>
    <w:semiHidden/>
    <w:unhideWhenUsed/>
    <w:rsid w:val="00912436"/>
    <w:rPr>
      <w:vertAlign w:val="superscript"/>
    </w:rPr>
  </w:style>
  <w:style w:type="paragraph" w:styleId="ListParagraph">
    <w:name w:val="List Paragraph"/>
    <w:basedOn w:val="Normal"/>
    <w:uiPriority w:val="34"/>
    <w:qFormat/>
    <w:rsid w:val="00912436"/>
    <w:pPr>
      <w:ind w:left="720"/>
      <w:contextualSpacing/>
    </w:pPr>
    <w:rPr>
      <w:rFonts w:cs="Mangal"/>
      <w:szCs w:val="21"/>
    </w:rPr>
  </w:style>
  <w:style w:type="paragraph" w:styleId="EndnoteText">
    <w:name w:val="endnote text"/>
    <w:basedOn w:val="Normal"/>
    <w:link w:val="EndnoteTextChar"/>
    <w:uiPriority w:val="99"/>
    <w:semiHidden/>
    <w:unhideWhenUsed/>
    <w:rsid w:val="006E72AC"/>
    <w:rPr>
      <w:rFonts w:cs="Mangal"/>
      <w:sz w:val="20"/>
      <w:szCs w:val="18"/>
    </w:rPr>
  </w:style>
  <w:style w:type="character" w:customStyle="1" w:styleId="EndnoteTextChar">
    <w:name w:val="Endnote Text Char"/>
    <w:basedOn w:val="DefaultParagraphFont"/>
    <w:link w:val="EndnoteText"/>
    <w:uiPriority w:val="99"/>
    <w:semiHidden/>
    <w:rsid w:val="006E72AC"/>
    <w:rPr>
      <w:rFonts w:ascii="Times New Roman" w:eastAsia="NSimSun" w:hAnsi="Times New Roman" w:cs="Mangal"/>
      <w:sz w:val="20"/>
      <w:szCs w:val="18"/>
      <w:lang w:eastAsia="zh-CN" w:bidi="hi-IN"/>
    </w:rPr>
  </w:style>
  <w:style w:type="character" w:styleId="EndnoteReference">
    <w:name w:val="endnote reference"/>
    <w:basedOn w:val="DefaultParagraphFont"/>
    <w:uiPriority w:val="99"/>
    <w:semiHidden/>
    <w:unhideWhenUsed/>
    <w:rsid w:val="006E72AC"/>
    <w:rPr>
      <w:vertAlign w:val="superscript"/>
    </w:rPr>
  </w:style>
  <w:style w:type="character" w:styleId="CommentReference">
    <w:name w:val="annotation reference"/>
    <w:basedOn w:val="DefaultParagraphFont"/>
    <w:uiPriority w:val="99"/>
    <w:semiHidden/>
    <w:unhideWhenUsed/>
    <w:rsid w:val="008E472D"/>
    <w:rPr>
      <w:sz w:val="16"/>
      <w:szCs w:val="16"/>
    </w:rPr>
  </w:style>
  <w:style w:type="paragraph" w:styleId="CommentText">
    <w:name w:val="annotation text"/>
    <w:basedOn w:val="Normal"/>
    <w:link w:val="CommentTextChar"/>
    <w:uiPriority w:val="99"/>
    <w:semiHidden/>
    <w:unhideWhenUsed/>
    <w:rsid w:val="008E472D"/>
    <w:rPr>
      <w:rFonts w:cs="Mangal"/>
      <w:sz w:val="20"/>
      <w:szCs w:val="18"/>
    </w:rPr>
  </w:style>
  <w:style w:type="character" w:customStyle="1" w:styleId="CommentTextChar">
    <w:name w:val="Comment Text Char"/>
    <w:basedOn w:val="DefaultParagraphFont"/>
    <w:link w:val="CommentText"/>
    <w:uiPriority w:val="99"/>
    <w:semiHidden/>
    <w:rsid w:val="008E472D"/>
    <w:rPr>
      <w:rFonts w:ascii="Times New Roman" w:eastAsia="NSimSun" w:hAnsi="Times New Roman"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8E472D"/>
    <w:rPr>
      <w:b/>
      <w:bCs/>
    </w:rPr>
  </w:style>
  <w:style w:type="character" w:customStyle="1" w:styleId="CommentSubjectChar">
    <w:name w:val="Comment Subject Char"/>
    <w:basedOn w:val="CommentTextChar"/>
    <w:link w:val="CommentSubject"/>
    <w:uiPriority w:val="99"/>
    <w:semiHidden/>
    <w:rsid w:val="008E472D"/>
    <w:rPr>
      <w:rFonts w:ascii="Times New Roman" w:eastAsia="NSimSun" w:hAnsi="Times New Roman" w:cs="Mangal"/>
      <w:b/>
      <w:bCs/>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F51E-7877-48AE-AB69-5BB54F15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3</cp:revision>
  <dcterms:created xsi:type="dcterms:W3CDTF">2023-09-03T19:48:00Z</dcterms:created>
  <dcterms:modified xsi:type="dcterms:W3CDTF">2023-09-09T13:24:00Z</dcterms:modified>
</cp:coreProperties>
</file>