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BD76" w14:textId="4EEAD462" w:rsidR="00D4273A" w:rsidRDefault="000A5C89" w:rsidP="008C021B">
      <w:pPr>
        <w:jc w:val="center"/>
        <w:rPr>
          <w:b/>
          <w:bCs/>
          <w:sz w:val="48"/>
          <w:szCs w:val="48"/>
        </w:rPr>
      </w:pPr>
      <w:r>
        <w:rPr>
          <w:b/>
          <w:bCs/>
          <w:sz w:val="48"/>
          <w:szCs w:val="48"/>
        </w:rPr>
        <w:t>6</w:t>
      </w:r>
      <w:r w:rsidR="008C7753">
        <w:rPr>
          <w:b/>
          <w:bCs/>
          <w:sz w:val="48"/>
          <w:szCs w:val="48"/>
        </w:rPr>
        <w:t>)</w:t>
      </w:r>
    </w:p>
    <w:p w14:paraId="6C84D3C6" w14:textId="3CD1B647" w:rsidR="008C021B" w:rsidRDefault="000A5C89" w:rsidP="008C021B">
      <w:r>
        <w:rPr>
          <w:b/>
          <w:bCs/>
        </w:rPr>
        <w:t>6</w:t>
      </w:r>
      <w:r w:rsidR="008C021B">
        <w:rPr>
          <w:b/>
          <w:bCs/>
        </w:rPr>
        <w:t>) Heterogeneity</w:t>
      </w:r>
    </w:p>
    <w:p w14:paraId="2AA2AF94" w14:textId="77777777" w:rsidR="008C021B" w:rsidRDefault="008C021B" w:rsidP="008C021B"/>
    <w:p w14:paraId="4C32A7E2" w14:textId="4FA2157B" w:rsidR="008C021B" w:rsidRDefault="008C021B" w:rsidP="008C021B">
      <w:r>
        <w:t xml:space="preserve">Heterogeneity is easy to account for using the modern approach.  Graphically, the abscissa is a function of pressure and the ordinate is the amount adsorbed.  Thus, if there are two energy plains, their </w:t>
      </w:r>
      <w:r>
        <w:rPr>
          <w:rFonts w:cs="Times New Roman"/>
        </w:rPr>
        <w:t>χ</w:t>
      </w:r>
      <w:r>
        <w:t xml:space="preserve">-plots simply add.  It is not rare to have two energies or type of plots to be present in the same sample.  For example, one could have a sample that has large external surface area and the porosity is “microporous” and follows the log-law. </w:t>
      </w:r>
      <w:r w:rsidR="00014A83">
        <w:t xml:space="preserve"> Although this sounds complicated, one simply determines the log-law fit for the “microporous” part and use the </w:t>
      </w:r>
      <w:r w:rsidR="00014A83">
        <w:rPr>
          <w:rFonts w:cs="Times New Roman"/>
        </w:rPr>
        <w:t>χ</w:t>
      </w:r>
      <w:r w:rsidR="00014A83">
        <w:t>-plot for the external area and add common energies amounts.  This will be illustrated later, but first some mathematical logic.</w:t>
      </w:r>
    </w:p>
    <w:p w14:paraId="76A677B1" w14:textId="77777777" w:rsidR="00014A83" w:rsidRDefault="00014A83" w:rsidP="008C021B"/>
    <w:p w14:paraId="2BFA1A1D" w14:textId="3005AAAA" w:rsidR="00014A83" w:rsidRDefault="00014A83" w:rsidP="008C021B">
      <w:r>
        <w:t xml:space="preserve">Looking at two separate energy function pre-exponentials, </w:t>
      </w:r>
      <w:r>
        <w:rPr>
          <w:i/>
          <w:iCs/>
        </w:rPr>
        <w:t>E</w:t>
      </w:r>
      <w:r>
        <w:rPr>
          <w:vertAlign w:val="subscript"/>
        </w:rPr>
        <w:t>a</w:t>
      </w:r>
      <w:r>
        <w:t xml:space="preserve">.  The high </w:t>
      </w:r>
      <w:r>
        <w:rPr>
          <w:i/>
          <w:iCs/>
        </w:rPr>
        <w:t>E</w:t>
      </w:r>
      <w:r>
        <w:rPr>
          <w:vertAlign w:val="subscript"/>
        </w:rPr>
        <w:t>a</w:t>
      </w:r>
      <w:r>
        <w:t xml:space="preserve"> curve has the lowest value of </w:t>
      </w:r>
      <w:r>
        <w:rPr>
          <w:rFonts w:cs="Times New Roman"/>
        </w:rPr>
        <w:t>χ</w:t>
      </w:r>
      <w:r>
        <w:t xml:space="preserve">, so one starts at that point.  One fits a straight line to this high low energy </w:t>
      </w:r>
      <w:r>
        <w:rPr>
          <w:rFonts w:cs="Times New Roman"/>
        </w:rPr>
        <w:t>χ</w:t>
      </w:r>
      <w:r>
        <w:t>-plot.  One then can subtract this plot from the total to get the low energy curve.</w:t>
      </w:r>
      <w:r w:rsidR="007232E6">
        <w:t xml:space="preserve">  Below is a graphical representation of this.</w:t>
      </w:r>
    </w:p>
    <w:tbl>
      <w:tblPr>
        <w:tblStyle w:val="TableGrid"/>
        <w:tblW w:w="0" w:type="auto"/>
        <w:jc w:val="center"/>
        <w:tblLook w:val="04A0" w:firstRow="1" w:lastRow="0" w:firstColumn="1" w:lastColumn="0" w:noHBand="0" w:noVBand="1"/>
      </w:tblPr>
      <w:tblGrid>
        <w:gridCol w:w="3099"/>
        <w:gridCol w:w="3132"/>
        <w:gridCol w:w="3119"/>
      </w:tblGrid>
      <w:tr w:rsidR="006F0418" w14:paraId="2AE8D5CD" w14:textId="77777777" w:rsidTr="006F0418">
        <w:trPr>
          <w:jc w:val="center"/>
        </w:trPr>
        <w:tc>
          <w:tcPr>
            <w:tcW w:w="3192" w:type="dxa"/>
          </w:tcPr>
          <w:p w14:paraId="426A299E" w14:textId="77777777" w:rsidR="006F0418" w:rsidRDefault="00A05801" w:rsidP="006F0418">
            <w:pPr>
              <w:keepNext/>
            </w:pPr>
            <w:r>
              <w:rPr>
                <w:noProof/>
              </w:rPr>
              <w:drawing>
                <wp:inline distT="0" distB="0" distL="0" distR="0" wp14:anchorId="71D628D9" wp14:editId="23AC6219">
                  <wp:extent cx="1794681" cy="1674090"/>
                  <wp:effectExtent l="0" t="0" r="0" b="0"/>
                  <wp:docPr id="1265291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91979" name="Picture 1265291979"/>
                          <pic:cNvPicPr/>
                        </pic:nvPicPr>
                        <pic:blipFill>
                          <a:blip r:embed="rId8">
                            <a:extLst>
                              <a:ext uri="{28A0092B-C50C-407E-A947-70E740481C1C}">
                                <a14:useLocalDpi xmlns:a14="http://schemas.microsoft.com/office/drawing/2010/main" val="0"/>
                              </a:ext>
                            </a:extLst>
                          </a:blip>
                          <a:stretch>
                            <a:fillRect/>
                          </a:stretch>
                        </pic:blipFill>
                        <pic:spPr>
                          <a:xfrm>
                            <a:off x="0" y="0"/>
                            <a:ext cx="1806654" cy="1685259"/>
                          </a:xfrm>
                          <a:prstGeom prst="rect">
                            <a:avLst/>
                          </a:prstGeom>
                        </pic:spPr>
                      </pic:pic>
                    </a:graphicData>
                  </a:graphic>
                </wp:inline>
              </w:drawing>
            </w:r>
          </w:p>
          <w:p w14:paraId="20F5FE53" w14:textId="4D35809C" w:rsidR="00A05801" w:rsidRPr="006F0418" w:rsidRDefault="006F0418" w:rsidP="006F0418">
            <w:pPr>
              <w:pStyle w:val="Caption"/>
              <w:rPr>
                <w:sz w:val="20"/>
                <w:szCs w:val="20"/>
              </w:rPr>
            </w:pPr>
            <w:r w:rsidRPr="006F0418">
              <w:rPr>
                <w:sz w:val="20"/>
                <w:szCs w:val="20"/>
              </w:rPr>
              <w:t xml:space="preserve">Figure </w:t>
            </w:r>
            <w:r w:rsidRPr="006F0418">
              <w:rPr>
                <w:sz w:val="20"/>
                <w:szCs w:val="20"/>
              </w:rPr>
              <w:fldChar w:fldCharType="begin"/>
            </w:r>
            <w:r w:rsidRPr="006F0418">
              <w:rPr>
                <w:sz w:val="20"/>
                <w:szCs w:val="20"/>
              </w:rPr>
              <w:instrText xml:space="preserve"> SEQ Figure \* ARABIC </w:instrText>
            </w:r>
            <w:r w:rsidRPr="006F0418">
              <w:rPr>
                <w:sz w:val="20"/>
                <w:szCs w:val="20"/>
              </w:rPr>
              <w:fldChar w:fldCharType="separate"/>
            </w:r>
            <w:r w:rsidR="00417B23">
              <w:rPr>
                <w:noProof/>
                <w:sz w:val="20"/>
                <w:szCs w:val="20"/>
              </w:rPr>
              <w:t>1</w:t>
            </w:r>
            <w:r w:rsidRPr="006F0418">
              <w:rPr>
                <w:sz w:val="20"/>
                <w:szCs w:val="20"/>
              </w:rPr>
              <w:fldChar w:fldCharType="end"/>
            </w:r>
            <w:r w:rsidRPr="006F0418">
              <w:rPr>
                <w:sz w:val="20"/>
                <w:szCs w:val="20"/>
              </w:rPr>
              <w:t xml:space="preserve"> the </w:t>
            </w:r>
            <w:r w:rsidRPr="006F0418">
              <w:rPr>
                <w:rFonts w:cs="Times New Roman"/>
                <w:sz w:val="20"/>
                <w:szCs w:val="20"/>
              </w:rPr>
              <w:t>χ</w:t>
            </w:r>
            <w:r w:rsidRPr="006F0418">
              <w:rPr>
                <w:sz w:val="20"/>
                <w:szCs w:val="20"/>
              </w:rPr>
              <w:t>-plot of the specimen A</w:t>
            </w:r>
          </w:p>
        </w:tc>
        <w:tc>
          <w:tcPr>
            <w:tcW w:w="3192" w:type="dxa"/>
          </w:tcPr>
          <w:p w14:paraId="65213A54" w14:textId="77777777" w:rsidR="006F0418" w:rsidRDefault="00A05801" w:rsidP="006F0418">
            <w:pPr>
              <w:keepNext/>
            </w:pPr>
            <w:r>
              <w:rPr>
                <w:noProof/>
              </w:rPr>
              <w:drawing>
                <wp:inline distT="0" distB="0" distL="0" distR="0" wp14:anchorId="381B0312" wp14:editId="57291FB7">
                  <wp:extent cx="1828800" cy="1683657"/>
                  <wp:effectExtent l="0" t="0" r="0" b="0"/>
                  <wp:docPr id="1841701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01833" name="Picture 1841701833"/>
                          <pic:cNvPicPr/>
                        </pic:nvPicPr>
                        <pic:blipFill>
                          <a:blip r:embed="rId9">
                            <a:extLst>
                              <a:ext uri="{28A0092B-C50C-407E-A947-70E740481C1C}">
                                <a14:useLocalDpi xmlns:a14="http://schemas.microsoft.com/office/drawing/2010/main" val="0"/>
                              </a:ext>
                            </a:extLst>
                          </a:blip>
                          <a:stretch>
                            <a:fillRect/>
                          </a:stretch>
                        </pic:blipFill>
                        <pic:spPr>
                          <a:xfrm>
                            <a:off x="0" y="0"/>
                            <a:ext cx="1846626" cy="1700069"/>
                          </a:xfrm>
                          <a:prstGeom prst="rect">
                            <a:avLst/>
                          </a:prstGeom>
                        </pic:spPr>
                      </pic:pic>
                    </a:graphicData>
                  </a:graphic>
                </wp:inline>
              </w:drawing>
            </w:r>
          </w:p>
          <w:p w14:paraId="182A67E8" w14:textId="2C891974" w:rsidR="00A05801" w:rsidRPr="006F0418" w:rsidRDefault="006F0418" w:rsidP="006F0418">
            <w:pPr>
              <w:pStyle w:val="Caption"/>
              <w:rPr>
                <w:sz w:val="20"/>
                <w:szCs w:val="20"/>
              </w:rPr>
            </w:pPr>
            <w:r w:rsidRPr="006F0418">
              <w:rPr>
                <w:sz w:val="20"/>
                <w:szCs w:val="20"/>
              </w:rPr>
              <w:t xml:space="preserve">Figure </w:t>
            </w:r>
            <w:r w:rsidRPr="006F0418">
              <w:rPr>
                <w:sz w:val="20"/>
                <w:szCs w:val="20"/>
              </w:rPr>
              <w:fldChar w:fldCharType="begin"/>
            </w:r>
            <w:r w:rsidRPr="006F0418">
              <w:rPr>
                <w:sz w:val="20"/>
                <w:szCs w:val="20"/>
              </w:rPr>
              <w:instrText xml:space="preserve"> SEQ Figure \* ARABIC </w:instrText>
            </w:r>
            <w:r w:rsidRPr="006F0418">
              <w:rPr>
                <w:sz w:val="20"/>
                <w:szCs w:val="20"/>
              </w:rPr>
              <w:fldChar w:fldCharType="separate"/>
            </w:r>
            <w:r w:rsidR="00417B23">
              <w:rPr>
                <w:noProof/>
                <w:sz w:val="20"/>
                <w:szCs w:val="20"/>
              </w:rPr>
              <w:t>2</w:t>
            </w:r>
            <w:r w:rsidRPr="006F0418">
              <w:rPr>
                <w:sz w:val="20"/>
                <w:szCs w:val="20"/>
              </w:rPr>
              <w:fldChar w:fldCharType="end"/>
            </w:r>
            <w:r w:rsidRPr="006F0418">
              <w:rPr>
                <w:sz w:val="20"/>
                <w:szCs w:val="20"/>
              </w:rPr>
              <w:t xml:space="preserve"> the </w:t>
            </w:r>
            <w:r w:rsidRPr="006F0418">
              <w:rPr>
                <w:rFonts w:cs="Times New Roman"/>
                <w:sz w:val="20"/>
                <w:szCs w:val="20"/>
              </w:rPr>
              <w:t>χ</w:t>
            </w:r>
            <w:r w:rsidRPr="006F0418">
              <w:rPr>
                <w:sz w:val="20"/>
                <w:szCs w:val="20"/>
              </w:rPr>
              <w:t>-plot of the specimen B</w:t>
            </w:r>
          </w:p>
        </w:tc>
        <w:tc>
          <w:tcPr>
            <w:tcW w:w="3192" w:type="dxa"/>
          </w:tcPr>
          <w:p w14:paraId="2DE0FA23" w14:textId="7D681C42" w:rsidR="00A05801" w:rsidRDefault="006F0418" w:rsidP="006F0418">
            <w:pPr>
              <w:keepNext/>
            </w:pPr>
            <w:r>
              <w:rPr>
                <w:noProof/>
              </w:rPr>
              <w:drawing>
                <wp:inline distT="0" distB="0" distL="0" distR="0" wp14:anchorId="5881C4D7" wp14:editId="33105F91">
                  <wp:extent cx="1815152" cy="1677200"/>
                  <wp:effectExtent l="0" t="0" r="0" b="0"/>
                  <wp:docPr id="700075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75500" name="Picture 700075500"/>
                          <pic:cNvPicPr/>
                        </pic:nvPicPr>
                        <pic:blipFill>
                          <a:blip r:embed="rId10">
                            <a:extLst>
                              <a:ext uri="{28A0092B-C50C-407E-A947-70E740481C1C}">
                                <a14:useLocalDpi xmlns:a14="http://schemas.microsoft.com/office/drawing/2010/main" val="0"/>
                              </a:ext>
                            </a:extLst>
                          </a:blip>
                          <a:stretch>
                            <a:fillRect/>
                          </a:stretch>
                        </pic:blipFill>
                        <pic:spPr>
                          <a:xfrm>
                            <a:off x="0" y="0"/>
                            <a:ext cx="1834912" cy="1695458"/>
                          </a:xfrm>
                          <a:prstGeom prst="rect">
                            <a:avLst/>
                          </a:prstGeom>
                        </pic:spPr>
                      </pic:pic>
                    </a:graphicData>
                  </a:graphic>
                </wp:inline>
              </w:drawing>
            </w:r>
            <w:r w:rsidRPr="006F0418">
              <w:rPr>
                <w:i/>
                <w:iCs/>
                <w:sz w:val="20"/>
                <w:szCs w:val="20"/>
              </w:rPr>
              <w:t xml:space="preserve">Figure </w:t>
            </w:r>
            <w:r w:rsidRPr="006F0418">
              <w:rPr>
                <w:i/>
                <w:iCs/>
                <w:sz w:val="20"/>
                <w:szCs w:val="20"/>
              </w:rPr>
              <w:fldChar w:fldCharType="begin"/>
            </w:r>
            <w:r w:rsidRPr="006F0418">
              <w:rPr>
                <w:i/>
                <w:iCs/>
                <w:sz w:val="20"/>
                <w:szCs w:val="20"/>
              </w:rPr>
              <w:instrText xml:space="preserve"> SEQ Figure \* ARABIC </w:instrText>
            </w:r>
            <w:r w:rsidRPr="006F0418">
              <w:rPr>
                <w:i/>
                <w:iCs/>
                <w:sz w:val="20"/>
                <w:szCs w:val="20"/>
              </w:rPr>
              <w:fldChar w:fldCharType="separate"/>
            </w:r>
            <w:r w:rsidR="00417B23">
              <w:rPr>
                <w:i/>
                <w:iCs/>
                <w:noProof/>
                <w:sz w:val="20"/>
                <w:szCs w:val="20"/>
              </w:rPr>
              <w:t>3</w:t>
            </w:r>
            <w:r w:rsidRPr="006F0418">
              <w:rPr>
                <w:i/>
                <w:iCs/>
                <w:sz w:val="20"/>
                <w:szCs w:val="20"/>
              </w:rPr>
              <w:fldChar w:fldCharType="end"/>
            </w:r>
            <w:r w:rsidRPr="006F0418">
              <w:rPr>
                <w:i/>
                <w:iCs/>
                <w:sz w:val="20"/>
                <w:szCs w:val="20"/>
              </w:rPr>
              <w:t xml:space="preserve">  </w:t>
            </w:r>
            <w:r>
              <w:rPr>
                <w:i/>
                <w:iCs/>
                <w:sz w:val="20"/>
                <w:szCs w:val="20"/>
              </w:rPr>
              <w:t>A</w:t>
            </w:r>
            <w:r w:rsidRPr="006F0418">
              <w:rPr>
                <w:i/>
                <w:iCs/>
                <w:sz w:val="20"/>
                <w:szCs w:val="20"/>
              </w:rPr>
              <w:t>ddin</w:t>
            </w:r>
            <w:r>
              <w:rPr>
                <w:i/>
                <w:iCs/>
                <w:sz w:val="20"/>
                <w:szCs w:val="20"/>
              </w:rPr>
              <w:t>g</w:t>
            </w:r>
            <w:r w:rsidRPr="006F0418">
              <w:rPr>
                <w:i/>
                <w:iCs/>
                <w:sz w:val="20"/>
                <w:szCs w:val="20"/>
              </w:rPr>
              <w:t xml:space="preserve"> curves A and B</w:t>
            </w:r>
          </w:p>
        </w:tc>
      </w:tr>
    </w:tbl>
    <w:p w14:paraId="5FFBC01C" w14:textId="77777777" w:rsidR="00670F3B" w:rsidRPr="00014A83" w:rsidRDefault="006F0418" w:rsidP="008C021B">
      <w:r>
        <w:t xml:space="preserve">Looking at the first and second derivative of </w:t>
      </w:r>
      <w:r w:rsidRPr="006F0418">
        <w:rPr>
          <w:i/>
          <w:iCs/>
        </w:rPr>
        <w:t>figure 3</w:t>
      </w:r>
      <w:r>
        <w:t xml:space="preserve"> one first gets a step function and then a </w:t>
      </w:r>
      <w:r>
        <w:rPr>
          <w:rFonts w:cs="Times New Roman"/>
        </w:rPr>
        <w:t>δ</w:t>
      </w:r>
      <w:r>
        <w:t xml:space="preserve"> function:</w:t>
      </w:r>
    </w:p>
    <w:tbl>
      <w:tblPr>
        <w:tblStyle w:val="TableGrid"/>
        <w:tblW w:w="0" w:type="auto"/>
        <w:tblInd w:w="1728" w:type="dxa"/>
        <w:tblLook w:val="04A0" w:firstRow="1" w:lastRow="0" w:firstColumn="1" w:lastColumn="0" w:noHBand="0" w:noVBand="1"/>
      </w:tblPr>
      <w:tblGrid>
        <w:gridCol w:w="3060"/>
        <w:gridCol w:w="3060"/>
      </w:tblGrid>
      <w:tr w:rsidR="00670F3B" w14:paraId="20BF9A4A" w14:textId="77777777" w:rsidTr="000C1718">
        <w:tc>
          <w:tcPr>
            <w:tcW w:w="3060" w:type="dxa"/>
          </w:tcPr>
          <w:p w14:paraId="1FAEDC16" w14:textId="77777777" w:rsidR="000C1718" w:rsidRPr="000C1718" w:rsidRDefault="000C1718" w:rsidP="000C1718">
            <w:pPr>
              <w:keepNext/>
              <w:rPr>
                <w:sz w:val="20"/>
                <w:szCs w:val="20"/>
              </w:rPr>
            </w:pPr>
            <w:r w:rsidRPr="000C1718">
              <w:rPr>
                <w:noProof/>
                <w:sz w:val="20"/>
                <w:szCs w:val="20"/>
              </w:rPr>
              <w:drawing>
                <wp:inline distT="0" distB="0" distL="0" distR="0" wp14:anchorId="5F44E5C2" wp14:editId="6A7C8023">
                  <wp:extent cx="1740090" cy="1656898"/>
                  <wp:effectExtent l="0" t="0" r="0" b="0"/>
                  <wp:docPr id="1307437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37303" name="Picture 1307437303"/>
                          <pic:cNvPicPr/>
                        </pic:nvPicPr>
                        <pic:blipFill>
                          <a:blip r:embed="rId11">
                            <a:extLst>
                              <a:ext uri="{28A0092B-C50C-407E-A947-70E740481C1C}">
                                <a14:useLocalDpi xmlns:a14="http://schemas.microsoft.com/office/drawing/2010/main" val="0"/>
                              </a:ext>
                            </a:extLst>
                          </a:blip>
                          <a:stretch>
                            <a:fillRect/>
                          </a:stretch>
                        </pic:blipFill>
                        <pic:spPr>
                          <a:xfrm>
                            <a:off x="0" y="0"/>
                            <a:ext cx="1755779" cy="1671837"/>
                          </a:xfrm>
                          <a:prstGeom prst="rect">
                            <a:avLst/>
                          </a:prstGeom>
                        </pic:spPr>
                      </pic:pic>
                    </a:graphicData>
                  </a:graphic>
                </wp:inline>
              </w:drawing>
            </w:r>
          </w:p>
          <w:p w14:paraId="37BB0842" w14:textId="27FEB5CD" w:rsidR="00670F3B" w:rsidRPr="000C1718" w:rsidRDefault="000C1718" w:rsidP="000C1718">
            <w:pPr>
              <w:pStyle w:val="Caption"/>
              <w:rPr>
                <w:sz w:val="20"/>
                <w:szCs w:val="20"/>
              </w:rPr>
            </w:pPr>
            <w:r w:rsidRPr="000C1718">
              <w:rPr>
                <w:sz w:val="20"/>
                <w:szCs w:val="20"/>
              </w:rPr>
              <w:t xml:space="preserve">Figure </w:t>
            </w:r>
            <w:r w:rsidRPr="000C1718">
              <w:rPr>
                <w:sz w:val="20"/>
                <w:szCs w:val="20"/>
              </w:rPr>
              <w:fldChar w:fldCharType="begin"/>
            </w:r>
            <w:r w:rsidRPr="000C1718">
              <w:rPr>
                <w:sz w:val="20"/>
                <w:szCs w:val="20"/>
              </w:rPr>
              <w:instrText xml:space="preserve"> SEQ Figure \* ARABIC </w:instrText>
            </w:r>
            <w:r w:rsidRPr="000C1718">
              <w:rPr>
                <w:sz w:val="20"/>
                <w:szCs w:val="20"/>
              </w:rPr>
              <w:fldChar w:fldCharType="separate"/>
            </w:r>
            <w:r w:rsidR="00417B23">
              <w:rPr>
                <w:noProof/>
                <w:sz w:val="20"/>
                <w:szCs w:val="20"/>
              </w:rPr>
              <w:t>4</w:t>
            </w:r>
            <w:r w:rsidRPr="000C1718">
              <w:rPr>
                <w:sz w:val="20"/>
                <w:szCs w:val="20"/>
              </w:rPr>
              <w:fldChar w:fldCharType="end"/>
            </w:r>
            <w:r w:rsidRPr="000C1718">
              <w:rPr>
                <w:sz w:val="20"/>
                <w:szCs w:val="20"/>
              </w:rPr>
              <w:t xml:space="preserve"> differentiating figure 2 once.</w:t>
            </w:r>
          </w:p>
        </w:tc>
        <w:tc>
          <w:tcPr>
            <w:tcW w:w="3060" w:type="dxa"/>
          </w:tcPr>
          <w:p w14:paraId="75691229" w14:textId="77777777" w:rsidR="000C1718" w:rsidRPr="000C1718" w:rsidRDefault="000C1718" w:rsidP="000C1718">
            <w:pPr>
              <w:keepNext/>
              <w:rPr>
                <w:sz w:val="20"/>
                <w:szCs w:val="20"/>
              </w:rPr>
            </w:pPr>
            <w:r w:rsidRPr="000C1718">
              <w:rPr>
                <w:noProof/>
                <w:sz w:val="20"/>
                <w:szCs w:val="20"/>
              </w:rPr>
              <w:drawing>
                <wp:inline distT="0" distB="0" distL="0" distR="0" wp14:anchorId="6773B38E" wp14:editId="1A0AE7AA">
                  <wp:extent cx="1726442" cy="1637025"/>
                  <wp:effectExtent l="0" t="0" r="0" b="0"/>
                  <wp:docPr id="2033498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98895" name="Picture 2033498895"/>
                          <pic:cNvPicPr/>
                        </pic:nvPicPr>
                        <pic:blipFill>
                          <a:blip r:embed="rId12">
                            <a:extLst>
                              <a:ext uri="{28A0092B-C50C-407E-A947-70E740481C1C}">
                                <a14:useLocalDpi xmlns:a14="http://schemas.microsoft.com/office/drawing/2010/main" val="0"/>
                              </a:ext>
                            </a:extLst>
                          </a:blip>
                          <a:stretch>
                            <a:fillRect/>
                          </a:stretch>
                        </pic:blipFill>
                        <pic:spPr>
                          <a:xfrm>
                            <a:off x="0" y="0"/>
                            <a:ext cx="1743613" cy="1653306"/>
                          </a:xfrm>
                          <a:prstGeom prst="rect">
                            <a:avLst/>
                          </a:prstGeom>
                        </pic:spPr>
                      </pic:pic>
                    </a:graphicData>
                  </a:graphic>
                </wp:inline>
              </w:drawing>
            </w:r>
          </w:p>
          <w:p w14:paraId="1D38A285" w14:textId="4E13A96F" w:rsidR="00670F3B" w:rsidRPr="000C1718" w:rsidRDefault="000C1718" w:rsidP="000C1718">
            <w:pPr>
              <w:pStyle w:val="Caption"/>
              <w:rPr>
                <w:sz w:val="20"/>
                <w:szCs w:val="20"/>
              </w:rPr>
            </w:pPr>
            <w:r w:rsidRPr="000C1718">
              <w:rPr>
                <w:sz w:val="20"/>
                <w:szCs w:val="20"/>
              </w:rPr>
              <w:t xml:space="preserve">Figure </w:t>
            </w:r>
            <w:r w:rsidRPr="000C1718">
              <w:rPr>
                <w:sz w:val="20"/>
                <w:szCs w:val="20"/>
              </w:rPr>
              <w:fldChar w:fldCharType="begin"/>
            </w:r>
            <w:r w:rsidRPr="000C1718">
              <w:rPr>
                <w:sz w:val="20"/>
                <w:szCs w:val="20"/>
              </w:rPr>
              <w:instrText xml:space="preserve"> SEQ Figure \* ARABIC </w:instrText>
            </w:r>
            <w:r w:rsidRPr="000C1718">
              <w:rPr>
                <w:sz w:val="20"/>
                <w:szCs w:val="20"/>
              </w:rPr>
              <w:fldChar w:fldCharType="separate"/>
            </w:r>
            <w:r w:rsidR="00417B23">
              <w:rPr>
                <w:noProof/>
                <w:sz w:val="20"/>
                <w:szCs w:val="20"/>
              </w:rPr>
              <w:t>5</w:t>
            </w:r>
            <w:r w:rsidRPr="000C1718">
              <w:rPr>
                <w:sz w:val="20"/>
                <w:szCs w:val="20"/>
              </w:rPr>
              <w:fldChar w:fldCharType="end"/>
            </w:r>
            <w:r w:rsidRPr="000C1718">
              <w:rPr>
                <w:sz w:val="20"/>
                <w:szCs w:val="20"/>
              </w:rPr>
              <w:t xml:space="preserve"> differentiating figure 2 twice</w:t>
            </w:r>
          </w:p>
        </w:tc>
      </w:tr>
    </w:tbl>
    <w:p w14:paraId="318E5E90" w14:textId="3AEE2B56" w:rsidR="00A05801" w:rsidRDefault="000C1718" w:rsidP="008C021B">
      <w:r>
        <w:rPr>
          <w:i/>
          <w:iCs/>
        </w:rPr>
        <w:t>Figure 5</w:t>
      </w:r>
      <w:r w:rsidRPr="000C1718">
        <w:t xml:space="preserve"> is the </w:t>
      </w:r>
      <w:r>
        <w:rPr>
          <w:i/>
          <w:iCs/>
        </w:rPr>
        <w:t>E</w:t>
      </w:r>
      <w:r w:rsidRPr="000C1718">
        <w:rPr>
          <w:vertAlign w:val="subscript"/>
        </w:rPr>
        <w:t>a</w:t>
      </w:r>
      <w:r w:rsidRPr="000C1718">
        <w:t xml:space="preserve"> distribution</w:t>
      </w:r>
      <w:r>
        <w:t xml:space="preserve">.  But what if there is a different type of distribution other than two discreet peaks.  This will be important not just for the heterogeneity but for porosity.  I one has a normal distribution of </w:t>
      </w:r>
      <w:r>
        <w:rPr>
          <w:i/>
          <w:iCs/>
        </w:rPr>
        <w:t>E</w:t>
      </w:r>
      <w:r>
        <w:rPr>
          <w:vertAlign w:val="subscript"/>
        </w:rPr>
        <w:t>a</w:t>
      </w:r>
      <w:r>
        <w:t xml:space="preserve">s the second integral of this is the original </w:t>
      </w:r>
      <w:r>
        <w:rPr>
          <w:rFonts w:cs="Times New Roman"/>
        </w:rPr>
        <w:t>χ</w:t>
      </w:r>
      <w:r>
        <w:t>-curve.</w:t>
      </w:r>
    </w:p>
    <w:p w14:paraId="2BFEAF63" w14:textId="31502279" w:rsidR="00903208" w:rsidRDefault="00903208" w:rsidP="008C021B">
      <w:r>
        <w:lastRenderedPageBreak/>
        <w:t>The normal distribution used for statistics is the equation:</w:t>
      </w:r>
    </w:p>
    <w:tbl>
      <w:tblPr>
        <w:tblStyle w:val="TableGrid"/>
        <w:tblW w:w="0" w:type="auto"/>
        <w:tblLook w:val="04A0" w:firstRow="1" w:lastRow="0" w:firstColumn="1" w:lastColumn="0" w:noHBand="0" w:noVBand="1"/>
      </w:tblPr>
      <w:tblGrid>
        <w:gridCol w:w="2883"/>
        <w:gridCol w:w="3493"/>
        <w:gridCol w:w="2974"/>
      </w:tblGrid>
      <w:tr w:rsidR="00903208" w14:paraId="02F8778A" w14:textId="77777777" w:rsidTr="00903208">
        <w:tc>
          <w:tcPr>
            <w:tcW w:w="3192" w:type="dxa"/>
          </w:tcPr>
          <w:p w14:paraId="71E81A83" w14:textId="77777777" w:rsidR="00903208" w:rsidRDefault="00903208" w:rsidP="008C021B"/>
        </w:tc>
        <w:tc>
          <w:tcPr>
            <w:tcW w:w="3192" w:type="dxa"/>
          </w:tcPr>
          <w:p w14:paraId="704E0960" w14:textId="15A53393" w:rsidR="00903208" w:rsidRDefault="00664DB7" w:rsidP="00A12D3B">
            <w:pPr>
              <w:keepNext/>
            </w:pPr>
            <w:r w:rsidRPr="005B22FC">
              <w:rPr>
                <w:position w:val="-28"/>
              </w:rPr>
              <w:object w:dxaOrig="3280" w:dyaOrig="780" w14:anchorId="2022B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39.2pt" o:ole="">
                  <v:imagedata r:id="rId13" o:title=""/>
                </v:shape>
                <o:OLEObject Type="Embed" ProgID="Equation.DSMT4" ShapeID="_x0000_i1025" DrawAspect="Content" ObjectID="_1756537949" r:id="rId14"/>
              </w:object>
            </w:r>
          </w:p>
        </w:tc>
        <w:tc>
          <w:tcPr>
            <w:tcW w:w="3192" w:type="dxa"/>
          </w:tcPr>
          <w:p w14:paraId="7DB8397C" w14:textId="77777777" w:rsidR="00A12D3B" w:rsidRDefault="00A12D3B" w:rsidP="00A12D3B">
            <w:pPr>
              <w:keepNext/>
            </w:pPr>
          </w:p>
          <w:p w14:paraId="7CCA9664" w14:textId="0CE4574C" w:rsidR="00903208" w:rsidRPr="00A12D3B" w:rsidRDefault="00A12D3B" w:rsidP="00A12D3B">
            <w:pPr>
              <w:jc w:val="right"/>
              <w:rPr>
                <w:i/>
                <w:iCs/>
              </w:rPr>
            </w:pPr>
            <w:r w:rsidRPr="00A12D3B">
              <w:rPr>
                <w:i/>
                <w:iCs/>
              </w:rPr>
              <w:t xml:space="preserve">Equation </w:t>
            </w:r>
            <w:r w:rsidRPr="00A12D3B">
              <w:rPr>
                <w:i/>
                <w:iCs/>
              </w:rPr>
              <w:fldChar w:fldCharType="begin"/>
            </w:r>
            <w:r w:rsidRPr="00A12D3B">
              <w:rPr>
                <w:i/>
                <w:iCs/>
              </w:rPr>
              <w:instrText xml:space="preserve"> SEQ Equation \* ARABIC </w:instrText>
            </w:r>
            <w:r w:rsidRPr="00A12D3B">
              <w:rPr>
                <w:i/>
                <w:iCs/>
              </w:rPr>
              <w:fldChar w:fldCharType="separate"/>
            </w:r>
            <w:r w:rsidR="005003B6">
              <w:rPr>
                <w:i/>
                <w:iCs/>
                <w:noProof/>
              </w:rPr>
              <w:t>1</w:t>
            </w:r>
            <w:r w:rsidRPr="00A12D3B">
              <w:rPr>
                <w:i/>
                <w:iCs/>
                <w:noProof/>
              </w:rPr>
              <w:fldChar w:fldCharType="end"/>
            </w:r>
          </w:p>
        </w:tc>
      </w:tr>
    </w:tbl>
    <w:p w14:paraId="4B12A30B" w14:textId="4246809E" w:rsidR="00903208" w:rsidRDefault="00136483" w:rsidP="008C021B">
      <w:r>
        <w:t>1</w:t>
      </w:r>
      <w:r w:rsidRPr="00136483">
        <w:rPr>
          <w:vertAlign w:val="superscript"/>
        </w:rPr>
        <w:t>st</w:t>
      </w:r>
      <w:r>
        <w:t xml:space="preserve"> integral:</w:t>
      </w:r>
    </w:p>
    <w:tbl>
      <w:tblPr>
        <w:tblStyle w:val="TableGrid"/>
        <w:tblW w:w="0" w:type="auto"/>
        <w:tblLook w:val="04A0" w:firstRow="1" w:lastRow="0" w:firstColumn="1" w:lastColumn="0" w:noHBand="0" w:noVBand="1"/>
      </w:tblPr>
      <w:tblGrid>
        <w:gridCol w:w="3070"/>
        <w:gridCol w:w="3174"/>
        <w:gridCol w:w="3106"/>
      </w:tblGrid>
      <w:tr w:rsidR="00664DB7" w14:paraId="09E7E265" w14:textId="77777777" w:rsidTr="00664DB7">
        <w:tc>
          <w:tcPr>
            <w:tcW w:w="3192" w:type="dxa"/>
          </w:tcPr>
          <w:p w14:paraId="25DEF172" w14:textId="77777777" w:rsidR="00664DB7" w:rsidRDefault="00664DB7" w:rsidP="008C021B"/>
        </w:tc>
        <w:tc>
          <w:tcPr>
            <w:tcW w:w="3192" w:type="dxa"/>
          </w:tcPr>
          <w:p w14:paraId="74E15E81" w14:textId="531B8930" w:rsidR="00664DB7" w:rsidRDefault="00664DB7" w:rsidP="00A12D3B">
            <w:pPr>
              <w:keepNext/>
            </w:pPr>
            <w:r w:rsidRPr="005B22FC">
              <w:rPr>
                <w:position w:val="-18"/>
              </w:rPr>
              <w:object w:dxaOrig="2520" w:dyaOrig="520" w14:anchorId="492B1E0D">
                <v:shape id="_x0000_i1026" type="#_x0000_t75" style="width:126.25pt;height:25.8pt" o:ole="">
                  <v:imagedata r:id="rId15" o:title=""/>
                </v:shape>
                <o:OLEObject Type="Embed" ProgID="Equation.DSMT4" ShapeID="_x0000_i1026" DrawAspect="Content" ObjectID="_1756537950" r:id="rId16"/>
              </w:object>
            </w:r>
          </w:p>
        </w:tc>
        <w:tc>
          <w:tcPr>
            <w:tcW w:w="3192" w:type="dxa"/>
          </w:tcPr>
          <w:p w14:paraId="626AE4A8" w14:textId="77777777" w:rsidR="00A12D3B" w:rsidRDefault="00A12D3B" w:rsidP="00A12D3B">
            <w:pPr>
              <w:keepNext/>
            </w:pPr>
          </w:p>
          <w:p w14:paraId="04F36EA2" w14:textId="4D6C0266" w:rsidR="00664DB7" w:rsidRPr="00A12D3B" w:rsidRDefault="00A12D3B" w:rsidP="00A12D3B">
            <w:pPr>
              <w:jc w:val="right"/>
              <w:rPr>
                <w:i/>
                <w:iCs/>
              </w:rPr>
            </w:pPr>
            <w:r w:rsidRPr="00A12D3B">
              <w:rPr>
                <w:i/>
                <w:iCs/>
              </w:rPr>
              <w:t xml:space="preserve">Equation </w:t>
            </w:r>
            <w:r w:rsidRPr="00A12D3B">
              <w:rPr>
                <w:i/>
                <w:iCs/>
              </w:rPr>
              <w:fldChar w:fldCharType="begin"/>
            </w:r>
            <w:r w:rsidRPr="00A12D3B">
              <w:rPr>
                <w:i/>
                <w:iCs/>
              </w:rPr>
              <w:instrText xml:space="preserve"> SEQ Equation \* ARABIC </w:instrText>
            </w:r>
            <w:r w:rsidRPr="00A12D3B">
              <w:rPr>
                <w:i/>
                <w:iCs/>
              </w:rPr>
              <w:fldChar w:fldCharType="separate"/>
            </w:r>
            <w:r w:rsidR="005003B6">
              <w:rPr>
                <w:i/>
                <w:iCs/>
                <w:noProof/>
              </w:rPr>
              <w:t>2</w:t>
            </w:r>
            <w:r w:rsidRPr="00A12D3B">
              <w:rPr>
                <w:i/>
                <w:iCs/>
                <w:noProof/>
              </w:rPr>
              <w:fldChar w:fldCharType="end"/>
            </w:r>
          </w:p>
        </w:tc>
      </w:tr>
    </w:tbl>
    <w:p w14:paraId="04828158" w14:textId="227916FE" w:rsidR="00664DB7" w:rsidRDefault="00136483" w:rsidP="008C021B">
      <w:r>
        <w:t>2</w:t>
      </w:r>
      <w:r w:rsidRPr="00136483">
        <w:rPr>
          <w:vertAlign w:val="superscript"/>
        </w:rPr>
        <w:t>nd</w:t>
      </w:r>
      <w:r>
        <w:t xml:space="preserve"> </w:t>
      </w:r>
      <w:proofErr w:type="spellStart"/>
      <w:r>
        <w:t>intergral</w:t>
      </w:r>
      <w:proofErr w:type="spellEnd"/>
      <w:r>
        <w:t>:</w:t>
      </w:r>
    </w:p>
    <w:tbl>
      <w:tblPr>
        <w:tblStyle w:val="TableGrid"/>
        <w:tblW w:w="0" w:type="auto"/>
        <w:tblLook w:val="04A0" w:firstRow="1" w:lastRow="0" w:firstColumn="1" w:lastColumn="0" w:noHBand="0" w:noVBand="1"/>
      </w:tblPr>
      <w:tblGrid>
        <w:gridCol w:w="2108"/>
        <w:gridCol w:w="4815"/>
        <w:gridCol w:w="2427"/>
      </w:tblGrid>
      <w:tr w:rsidR="00664DB7" w14:paraId="6CA6C30A" w14:textId="77777777" w:rsidTr="00664DB7">
        <w:tc>
          <w:tcPr>
            <w:tcW w:w="3192" w:type="dxa"/>
          </w:tcPr>
          <w:p w14:paraId="21258698" w14:textId="77777777" w:rsidR="00664DB7" w:rsidRDefault="00664DB7" w:rsidP="008C021B"/>
        </w:tc>
        <w:tc>
          <w:tcPr>
            <w:tcW w:w="3192" w:type="dxa"/>
          </w:tcPr>
          <w:p w14:paraId="37A930A3" w14:textId="6F1C0149" w:rsidR="00664DB7" w:rsidRDefault="00664DB7" w:rsidP="00A12D3B">
            <w:pPr>
              <w:keepNext/>
            </w:pPr>
            <w:r w:rsidRPr="005B22FC">
              <w:rPr>
                <w:position w:val="-28"/>
              </w:rPr>
              <w:object w:dxaOrig="4599" w:dyaOrig="700" w14:anchorId="4FE16DE9">
                <v:shape id="_x0000_i1027" type="#_x0000_t75" style="width:229.95pt;height:34.95pt" o:ole="">
                  <v:imagedata r:id="rId17" o:title=""/>
                </v:shape>
                <o:OLEObject Type="Embed" ProgID="Equation.DSMT4" ShapeID="_x0000_i1027" DrawAspect="Content" ObjectID="_1756537951" r:id="rId18"/>
              </w:object>
            </w:r>
          </w:p>
        </w:tc>
        <w:tc>
          <w:tcPr>
            <w:tcW w:w="3192" w:type="dxa"/>
          </w:tcPr>
          <w:p w14:paraId="206A3932" w14:textId="77777777" w:rsidR="00A12D3B" w:rsidRDefault="00A12D3B" w:rsidP="00A12D3B">
            <w:pPr>
              <w:keepNext/>
            </w:pPr>
          </w:p>
          <w:p w14:paraId="70BBB8A0" w14:textId="79C8C784" w:rsidR="00664DB7" w:rsidRPr="00A12D3B" w:rsidRDefault="00A12D3B" w:rsidP="00A12D3B">
            <w:pPr>
              <w:jc w:val="right"/>
              <w:rPr>
                <w:i/>
                <w:iCs/>
              </w:rPr>
            </w:pPr>
            <w:r w:rsidRPr="00A12D3B">
              <w:rPr>
                <w:i/>
                <w:iCs/>
              </w:rPr>
              <w:t xml:space="preserve">Equation </w:t>
            </w:r>
            <w:r w:rsidRPr="00A12D3B">
              <w:rPr>
                <w:i/>
                <w:iCs/>
              </w:rPr>
              <w:fldChar w:fldCharType="begin"/>
            </w:r>
            <w:r w:rsidRPr="00A12D3B">
              <w:rPr>
                <w:i/>
                <w:iCs/>
              </w:rPr>
              <w:instrText xml:space="preserve"> SEQ Equation \* ARABIC </w:instrText>
            </w:r>
            <w:r w:rsidRPr="00A12D3B">
              <w:rPr>
                <w:i/>
                <w:iCs/>
              </w:rPr>
              <w:fldChar w:fldCharType="separate"/>
            </w:r>
            <w:r w:rsidR="005003B6">
              <w:rPr>
                <w:i/>
                <w:iCs/>
                <w:noProof/>
              </w:rPr>
              <w:t>3</w:t>
            </w:r>
            <w:r w:rsidRPr="00A12D3B">
              <w:rPr>
                <w:i/>
                <w:iCs/>
                <w:noProof/>
              </w:rPr>
              <w:fldChar w:fldCharType="end"/>
            </w:r>
          </w:p>
        </w:tc>
      </w:tr>
    </w:tbl>
    <w:p w14:paraId="69FF9054" w14:textId="57DD4B60" w:rsidR="005003B6" w:rsidRDefault="00A12D3B" w:rsidP="008C021B">
      <w:r>
        <w:t xml:space="preserve">The function </w:t>
      </w:r>
      <w:r>
        <w:rPr>
          <w:b/>
          <w:bCs/>
        </w:rPr>
        <w:t>G</w:t>
      </w:r>
      <w:r>
        <w:t xml:space="preserve"> is for a unit value for </w:t>
      </w:r>
      <w:r>
        <w:rPr>
          <w:i/>
          <w:iCs/>
        </w:rPr>
        <w:t>n</w:t>
      </w:r>
      <w:r>
        <w:rPr>
          <w:vertAlign w:val="subscript"/>
        </w:rPr>
        <w:t>ads</w:t>
      </w:r>
      <w:r>
        <w:t xml:space="preserve">, in other words for </w:t>
      </w:r>
      <w:r>
        <w:rPr>
          <w:rFonts w:cs="Times New Roman"/>
        </w:rPr>
        <w:t>θ</w:t>
      </w:r>
      <w:r>
        <w:t xml:space="preserve">, therefore </w:t>
      </w:r>
      <w:proofErr w:type="gramStart"/>
      <w:r>
        <w:t>these equation</w:t>
      </w:r>
      <w:proofErr w:type="gramEnd"/>
      <w:r>
        <w:t xml:space="preserve"> need to be multiplied by </w:t>
      </w:r>
      <w:r>
        <w:rPr>
          <w:i/>
          <w:iCs/>
        </w:rPr>
        <w:t>n</w:t>
      </w:r>
      <w:r>
        <w:rPr>
          <w:vertAlign w:val="subscript"/>
        </w:rPr>
        <w:t>m</w:t>
      </w:r>
      <w:r>
        <w:t xml:space="preserve"> for the isotherm</w:t>
      </w:r>
      <w:r w:rsidR="00136483">
        <w:t>:</w:t>
      </w:r>
    </w:p>
    <w:tbl>
      <w:tblPr>
        <w:tblStyle w:val="TableGrid"/>
        <w:tblW w:w="0" w:type="auto"/>
        <w:tblLook w:val="04A0" w:firstRow="1" w:lastRow="0" w:firstColumn="1" w:lastColumn="0" w:noHBand="0" w:noVBand="1"/>
      </w:tblPr>
      <w:tblGrid>
        <w:gridCol w:w="1577"/>
        <w:gridCol w:w="6216"/>
        <w:gridCol w:w="1557"/>
      </w:tblGrid>
      <w:tr w:rsidR="007C3D98" w14:paraId="1B0FCE99" w14:textId="77777777" w:rsidTr="007C3D98">
        <w:tc>
          <w:tcPr>
            <w:tcW w:w="1577" w:type="dxa"/>
          </w:tcPr>
          <w:p w14:paraId="20967FDE" w14:textId="77777777" w:rsidR="007C3D98" w:rsidRDefault="007C3D98" w:rsidP="005003B6">
            <w:pPr>
              <w:keepNext/>
            </w:pPr>
          </w:p>
        </w:tc>
        <w:tc>
          <w:tcPr>
            <w:tcW w:w="6216" w:type="dxa"/>
          </w:tcPr>
          <w:p w14:paraId="090E78C7" w14:textId="0DB9D2B1" w:rsidR="007C3D98" w:rsidRDefault="00136483" w:rsidP="005003B6">
            <w:pPr>
              <w:keepNext/>
            </w:pPr>
            <w:r w:rsidRPr="005003B6">
              <w:rPr>
                <w:position w:val="-54"/>
              </w:rPr>
              <w:object w:dxaOrig="5820" w:dyaOrig="1200" w14:anchorId="7A3838E3">
                <v:shape id="_x0000_i1028" type="#_x0000_t75" style="width:291.2pt;height:60.2pt" o:ole="">
                  <v:imagedata r:id="rId19" o:title=""/>
                </v:shape>
                <o:OLEObject Type="Embed" ProgID="Equation.DSMT4" ShapeID="_x0000_i1028" DrawAspect="Content" ObjectID="_1756537952" r:id="rId20"/>
              </w:object>
            </w:r>
          </w:p>
        </w:tc>
        <w:tc>
          <w:tcPr>
            <w:tcW w:w="1557" w:type="dxa"/>
          </w:tcPr>
          <w:p w14:paraId="43054F54" w14:textId="77777777" w:rsidR="007C3D98" w:rsidRDefault="007C3D98" w:rsidP="005003B6">
            <w:pPr>
              <w:jc w:val="right"/>
              <w:rPr>
                <w:i/>
                <w:iCs/>
              </w:rPr>
            </w:pPr>
          </w:p>
          <w:p w14:paraId="3508F0A5" w14:textId="77777777" w:rsidR="007C3D98" w:rsidRDefault="007C3D98" w:rsidP="005003B6">
            <w:pPr>
              <w:jc w:val="right"/>
              <w:rPr>
                <w:i/>
                <w:iCs/>
              </w:rPr>
            </w:pPr>
          </w:p>
          <w:p w14:paraId="0B3C1575" w14:textId="3DC12082" w:rsidR="007C3D98" w:rsidRPr="005003B6" w:rsidRDefault="007C3D98" w:rsidP="005003B6">
            <w:pPr>
              <w:jc w:val="right"/>
              <w:rPr>
                <w:i/>
                <w:iCs/>
              </w:rPr>
            </w:pPr>
            <w:r w:rsidRPr="005003B6">
              <w:rPr>
                <w:i/>
                <w:iCs/>
              </w:rPr>
              <w:t xml:space="preserve">Equation </w:t>
            </w:r>
            <w:r w:rsidRPr="005003B6">
              <w:rPr>
                <w:i/>
                <w:iCs/>
              </w:rPr>
              <w:fldChar w:fldCharType="begin"/>
            </w:r>
            <w:r w:rsidRPr="005003B6">
              <w:rPr>
                <w:i/>
                <w:iCs/>
              </w:rPr>
              <w:instrText xml:space="preserve"> SEQ Equation \* ARABIC </w:instrText>
            </w:r>
            <w:r w:rsidRPr="005003B6">
              <w:rPr>
                <w:i/>
                <w:iCs/>
              </w:rPr>
              <w:fldChar w:fldCharType="separate"/>
            </w:r>
            <w:r w:rsidRPr="005003B6">
              <w:rPr>
                <w:i/>
                <w:iCs/>
                <w:noProof/>
              </w:rPr>
              <w:t>4</w:t>
            </w:r>
            <w:r w:rsidRPr="005003B6">
              <w:rPr>
                <w:i/>
                <w:iCs/>
              </w:rPr>
              <w:fldChar w:fldCharType="end"/>
            </w:r>
          </w:p>
        </w:tc>
      </w:tr>
    </w:tbl>
    <w:p w14:paraId="2AD07FE5" w14:textId="61508B5E" w:rsidR="00A12D3B" w:rsidRDefault="00A12D3B" w:rsidP="008C021B"/>
    <w:p w14:paraId="789E82AB" w14:textId="3A7598E2" w:rsidR="00E62AD6" w:rsidRDefault="00764E14" w:rsidP="008C021B">
      <w:pPr>
        <w:rPr>
          <w:rFonts w:cs="Times New Roman"/>
        </w:rPr>
      </w:pPr>
      <w:r>
        <w:t xml:space="preserve">The value </w:t>
      </w:r>
      <w:r>
        <w:rPr>
          <w:rFonts w:cs="Times New Roman"/>
        </w:rPr>
        <w:t>&lt;χ</w:t>
      </w:r>
      <w:r w:rsidR="004D1250" w:rsidRPr="004D1250">
        <w:rPr>
          <w:rFonts w:cs="Times New Roman"/>
          <w:vertAlign w:val="subscript"/>
        </w:rPr>
        <w:t>ς</w:t>
      </w:r>
      <w:r w:rsidR="004D1250">
        <w:rPr>
          <w:rFonts w:cs="Times New Roman"/>
        </w:rPr>
        <w:t xml:space="preserve">&gt; is the mean value for the </w:t>
      </w:r>
      <w:proofErr w:type="spellStart"/>
      <w:r w:rsidR="004D1250">
        <w:rPr>
          <w:rFonts w:cs="Times New Roman"/>
        </w:rPr>
        <w:t>χ</w:t>
      </w:r>
      <w:r w:rsidR="004D1250" w:rsidRPr="004D1250">
        <w:rPr>
          <w:rFonts w:cs="Times New Roman"/>
          <w:vertAlign w:val="subscript"/>
        </w:rPr>
        <w:t>ς</w:t>
      </w:r>
      <w:r w:rsidR="004D1250">
        <w:rPr>
          <w:rFonts w:cs="Times New Roman"/>
        </w:rPr>
        <w:t>s</w:t>
      </w:r>
      <w:proofErr w:type="spellEnd"/>
      <w:r w:rsidR="0047498A">
        <w:rPr>
          <w:rFonts w:cs="Times New Roman"/>
        </w:rPr>
        <w:t xml:space="preserve"> and is the peak for the distribution</w:t>
      </w:r>
      <w:r w:rsidR="004D1250">
        <w:rPr>
          <w:rFonts w:cs="Times New Roman"/>
        </w:rPr>
        <w:t>.  The ending Greek letter, ς, indicates the spread of &lt;χ</w:t>
      </w:r>
      <w:r w:rsidR="004D1250" w:rsidRPr="004D1250">
        <w:rPr>
          <w:rFonts w:cs="Times New Roman"/>
          <w:vertAlign w:val="subscript"/>
        </w:rPr>
        <w:t>ς</w:t>
      </w:r>
      <w:r w:rsidR="004D1250">
        <w:rPr>
          <w:rFonts w:cs="Times New Roman"/>
        </w:rPr>
        <w:t xml:space="preserve">&gt;.  </w:t>
      </w:r>
      <w:r w:rsidR="0047498A">
        <w:rPr>
          <w:rFonts w:cs="Times New Roman"/>
        </w:rPr>
        <w:t>This equation will be seen again for mesoporosity.</w:t>
      </w:r>
    </w:p>
    <w:p w14:paraId="6980D43A" w14:textId="77777777" w:rsidR="00E62AD6" w:rsidRDefault="00E62AD6" w:rsidP="008C021B">
      <w:pPr>
        <w:rPr>
          <w:rFonts w:cs="Times New Roman"/>
        </w:rPr>
      </w:pPr>
    </w:p>
    <w:p w14:paraId="49114E4A" w14:textId="4E593646" w:rsidR="00E62AD6" w:rsidRPr="00E62AD6" w:rsidRDefault="00E62AD6" w:rsidP="008C021B">
      <w:pPr>
        <w:rPr>
          <w:rFonts w:cs="Times New Roman"/>
        </w:rPr>
      </w:pPr>
      <w:r>
        <w:rPr>
          <w:rFonts w:cs="Times New Roman"/>
        </w:rPr>
        <w:t xml:space="preserve">The output parameters are </w:t>
      </w:r>
      <w:r>
        <w:rPr>
          <w:rFonts w:cs="Times New Roman"/>
          <w:i/>
          <w:iCs/>
        </w:rPr>
        <w:t>n</w:t>
      </w:r>
      <w:r>
        <w:rPr>
          <w:rFonts w:cs="Times New Roman"/>
          <w:vertAlign w:val="subscript"/>
        </w:rPr>
        <w:t>m</w:t>
      </w:r>
      <w:r>
        <w:rPr>
          <w:rFonts w:cs="Times New Roman"/>
          <w:i/>
          <w:iCs/>
        </w:rPr>
        <w:t>,</w:t>
      </w:r>
      <w:r w:rsidRPr="00E62AD6">
        <w:rPr>
          <w:rFonts w:cs="Times New Roman"/>
        </w:rPr>
        <w:t xml:space="preserve"> </w:t>
      </w:r>
      <w:r>
        <w:rPr>
          <w:rFonts w:cs="Times New Roman"/>
        </w:rPr>
        <w:t>&lt;χ</w:t>
      </w:r>
      <w:r w:rsidRPr="004D1250">
        <w:rPr>
          <w:rFonts w:cs="Times New Roman"/>
          <w:vertAlign w:val="subscript"/>
        </w:rPr>
        <w:t>ς</w:t>
      </w:r>
      <w:r>
        <w:rPr>
          <w:rFonts w:cs="Times New Roman"/>
        </w:rPr>
        <w:t xml:space="preserve">&gt; and ς.  So, the fit is expanded from 2 to 3.  This is the first feature </w:t>
      </w:r>
      <w:r w:rsidR="007C3D98">
        <w:rPr>
          <w:rFonts w:cs="Times New Roman"/>
        </w:rPr>
        <w:t>to expand the simple isotherm description.  In doing so, one parameter has been replaced and one added.</w:t>
      </w:r>
    </w:p>
    <w:p w14:paraId="5A6FD8CE" w14:textId="77777777" w:rsidR="00E62AD6" w:rsidRDefault="00E62AD6" w:rsidP="008C021B">
      <w:pPr>
        <w:rPr>
          <w:rFonts w:cs="Times New Roman"/>
        </w:rPr>
      </w:pPr>
    </w:p>
    <w:p w14:paraId="6E27E27A" w14:textId="4B360AA6" w:rsidR="00A12D3B" w:rsidRDefault="004D1250" w:rsidP="008C021B">
      <w:pPr>
        <w:rPr>
          <w:rFonts w:cs="Times New Roman"/>
        </w:rPr>
      </w:pPr>
      <w:r>
        <w:rPr>
          <w:rFonts w:cs="Times New Roman"/>
        </w:rPr>
        <w:t xml:space="preserve">If ς = 0 this equation would yield the original χ equation.  </w:t>
      </w:r>
      <w:r w:rsidR="00E62AD6">
        <w:rPr>
          <w:rFonts w:cs="Times New Roman"/>
        </w:rPr>
        <w:t xml:space="preserve">If one wished to see what a homogeneous fit would be using a least squares routine that has ς as a variable, one cannot set it to zero since </w:t>
      </w:r>
      <w:r w:rsidR="007C3D98">
        <w:rPr>
          <w:rFonts w:cs="Times New Roman"/>
        </w:rPr>
        <w:t xml:space="preserve">that generates </w:t>
      </w:r>
      <w:r w:rsidR="00E62AD6">
        <w:rPr>
          <w:rFonts w:cs="Times New Roman"/>
        </w:rPr>
        <w:t>an error.  One must set it to an extremely low value to simulate zero.</w:t>
      </w:r>
    </w:p>
    <w:p w14:paraId="78A61AF5" w14:textId="2793C76C" w:rsidR="007C3D98" w:rsidRDefault="007C3D98" w:rsidP="008C021B">
      <w:pPr>
        <w:rPr>
          <w:rFonts w:cs="Times New Roman"/>
          <w:b/>
          <w:bCs/>
        </w:rPr>
      </w:pPr>
    </w:p>
    <w:p w14:paraId="13FA4B1D" w14:textId="76A17286" w:rsidR="00B93462" w:rsidRDefault="007C3D98" w:rsidP="008C021B">
      <w:pPr>
        <w:rPr>
          <w:rFonts w:cs="Times New Roman"/>
        </w:rPr>
      </w:pPr>
      <w:r>
        <w:rPr>
          <w:rFonts w:cs="Times New Roman"/>
          <w:b/>
          <w:bCs/>
        </w:rPr>
        <w:t>Example of a simple fit to the heterogeneity fit:</w:t>
      </w:r>
    </w:p>
    <w:p w14:paraId="43C3EE17" w14:textId="77777777" w:rsidR="00B93462" w:rsidRDefault="00B93462" w:rsidP="008C021B">
      <w:pPr>
        <w:rPr>
          <w:rFonts w:cs="Times New Roman"/>
        </w:rPr>
      </w:pPr>
    </w:p>
    <w:p w14:paraId="74EFF109" w14:textId="3DA34394" w:rsidR="00B93462" w:rsidRDefault="00B93462" w:rsidP="008C021B">
      <w:pPr>
        <w:rPr>
          <w:rFonts w:cs="Times New Roman"/>
        </w:rPr>
      </w:pPr>
      <w:r>
        <w:rPr>
          <w:rFonts w:cs="Times New Roman"/>
        </w:rPr>
        <w:t xml:space="preserve">An example of an isotherm that was carefully controlled to yield a standard curve is that by Krug, Jaroniec and Olivier.  </w:t>
      </w:r>
    </w:p>
    <w:p w14:paraId="48505CA1" w14:textId="77777777" w:rsidR="00CF5CA3" w:rsidRDefault="00CF5CA3" w:rsidP="008C021B">
      <w:pPr>
        <w:rPr>
          <w:rFonts w:cs="Times New Roman"/>
        </w:rPr>
      </w:pPr>
    </w:p>
    <w:p w14:paraId="7F4E8EAF" w14:textId="77777777" w:rsidR="007C2934" w:rsidRDefault="00E64F08" w:rsidP="007C2934">
      <w:pPr>
        <w:rPr>
          <w:rFonts w:eastAsiaTheme="minorHAnsi" w:cs="Times New Roman"/>
          <w:kern w:val="0"/>
          <w:lang w:eastAsia="en-US" w:bidi="ar-SA"/>
        </w:rPr>
      </w:pPr>
      <w:r>
        <w:rPr>
          <w:rFonts w:cs="Times New Roman"/>
        </w:rPr>
        <w:t>An example of an isotherm that was carefully controlled to yield a standard curve is that by</w:t>
      </w:r>
      <w:r w:rsidRPr="00CF5CA3">
        <w:rPr>
          <w:rFonts w:eastAsiaTheme="minorHAnsi" w:cs="Times New Roman"/>
          <w:kern w:val="0"/>
          <w:lang w:val="en-CA" w:eastAsia="en-US" w:bidi="ar-SA"/>
        </w:rPr>
        <w:t xml:space="preserve"> </w:t>
      </w:r>
      <w:r w:rsidR="00CF5CA3" w:rsidRPr="00CF5CA3">
        <w:rPr>
          <w:rFonts w:eastAsiaTheme="minorHAnsi" w:cs="Times New Roman"/>
          <w:kern w:val="0"/>
          <w:lang w:val="en-CA" w:eastAsia="en-US" w:bidi="ar-SA"/>
        </w:rPr>
        <w:fldChar w:fldCharType="begin"/>
      </w:r>
      <w:r w:rsidR="00CF5CA3" w:rsidRPr="00CF5CA3">
        <w:rPr>
          <w:rFonts w:eastAsiaTheme="minorHAnsi" w:cs="Times New Roman"/>
          <w:kern w:val="0"/>
          <w:lang w:val="en-CA" w:eastAsia="en-US" w:bidi="ar-SA"/>
        </w:rPr>
        <w:instrText xml:space="preserve"> SEQ CHAPTER \h \r 1</w:instrText>
      </w:r>
      <w:r w:rsidR="00CF5CA3" w:rsidRPr="00CF5CA3">
        <w:rPr>
          <w:rFonts w:eastAsiaTheme="minorHAnsi" w:cs="Times New Roman"/>
          <w:kern w:val="0"/>
          <w:lang w:val="en-CA" w:eastAsia="en-US" w:bidi="ar-SA"/>
        </w:rPr>
        <w:fldChar w:fldCharType="end"/>
      </w:r>
      <w:r w:rsidR="00CF5CA3" w:rsidRPr="00CF5CA3">
        <w:rPr>
          <w:rFonts w:eastAsiaTheme="minorHAnsi" w:cs="Times New Roman"/>
          <w:kern w:val="0"/>
          <w:lang w:eastAsia="en-US" w:bidi="ar-SA"/>
        </w:rPr>
        <w:t xml:space="preserve"> Krug, Jaroniec and Olivie</w:t>
      </w:r>
      <w:r>
        <w:rPr>
          <w:rFonts w:eastAsiaTheme="minorHAnsi" w:cs="Times New Roman"/>
          <w:kern w:val="0"/>
          <w:lang w:eastAsia="en-US" w:bidi="ar-SA"/>
        </w:rPr>
        <w:t>r</w:t>
      </w:r>
      <w:r>
        <w:rPr>
          <w:rStyle w:val="EndnoteReference"/>
          <w:rFonts w:cs="Times New Roman"/>
        </w:rPr>
        <w:endnoteReference w:id="1"/>
      </w:r>
      <w:r>
        <w:rPr>
          <w:rFonts w:eastAsiaTheme="minorHAnsi" w:cs="Times New Roman"/>
          <w:kern w:val="0"/>
          <w:lang w:eastAsia="en-US" w:bidi="ar-SA"/>
        </w:rPr>
        <w:t xml:space="preserve"> </w:t>
      </w:r>
      <w:r w:rsidR="00CF5CA3" w:rsidRPr="00CF5CA3">
        <w:rPr>
          <w:rFonts w:eastAsiaTheme="minorHAnsi" w:cs="Times New Roman"/>
          <w:kern w:val="0"/>
          <w:lang w:eastAsia="en-US" w:bidi="ar-SA"/>
        </w:rPr>
        <w:t xml:space="preserve">(KJO.)  </w:t>
      </w:r>
      <w:r>
        <w:rPr>
          <w:rFonts w:cs="Times New Roman"/>
        </w:rPr>
        <w:t xml:space="preserve">The temperature seems to have been well characterized and controlled which is critical for a standard curve.  </w:t>
      </w:r>
      <w:r w:rsidR="00CF5CA3" w:rsidRPr="00CF5CA3">
        <w:rPr>
          <w:rFonts w:eastAsiaTheme="minorHAnsi" w:cs="Times New Roman"/>
          <w:kern w:val="0"/>
          <w:lang w:eastAsia="en-US" w:bidi="ar-SA"/>
        </w:rPr>
        <w:t xml:space="preserve">The </w:t>
      </w:r>
      <w:r>
        <w:rPr>
          <w:rFonts w:eastAsiaTheme="minorHAnsi" w:cs="Times New Roman"/>
          <w:kern w:val="0"/>
          <w:lang w:eastAsia="en-US" w:bidi="ar-SA"/>
        </w:rPr>
        <w:t xml:space="preserve">adsorbent was a </w:t>
      </w:r>
      <w:r w:rsidR="00CF5CA3" w:rsidRPr="00CF5CA3">
        <w:rPr>
          <w:rFonts w:eastAsiaTheme="minorHAnsi" w:cs="Times New Roman"/>
          <w:kern w:val="0"/>
          <w:lang w:eastAsia="en-US" w:bidi="ar-SA"/>
        </w:rPr>
        <w:t>silica sample LiChrospher Si-1000</w:t>
      </w:r>
      <w:r>
        <w:rPr>
          <w:rFonts w:eastAsiaTheme="minorHAnsi" w:cs="Times New Roman"/>
          <w:kern w:val="0"/>
          <w:lang w:eastAsia="en-US" w:bidi="ar-SA"/>
        </w:rPr>
        <w:t>, which</w:t>
      </w:r>
      <w:r w:rsidR="00CF5CA3" w:rsidRPr="00CF5CA3">
        <w:rPr>
          <w:rFonts w:eastAsiaTheme="minorHAnsi" w:cs="Times New Roman"/>
          <w:kern w:val="0"/>
          <w:lang w:eastAsia="en-US" w:bidi="ar-SA"/>
        </w:rPr>
        <w:t xml:space="preserve"> was apparently very pure with </w:t>
      </w:r>
      <w:r>
        <w:rPr>
          <w:rFonts w:eastAsiaTheme="minorHAnsi" w:cs="Times New Roman"/>
          <w:kern w:val="0"/>
          <w:lang w:eastAsia="en-US" w:bidi="ar-SA"/>
        </w:rPr>
        <w:t xml:space="preserve">only </w:t>
      </w:r>
      <w:r w:rsidR="00CF5CA3" w:rsidRPr="00CF5CA3">
        <w:rPr>
          <w:rFonts w:eastAsiaTheme="minorHAnsi" w:cs="Times New Roman"/>
          <w:kern w:val="0"/>
          <w:lang w:eastAsia="en-US" w:bidi="ar-SA"/>
        </w:rPr>
        <w:t xml:space="preserve">slight heterogeneity.  </w:t>
      </w:r>
      <w:r w:rsidR="00AA7CAF">
        <w:rPr>
          <w:rFonts w:eastAsiaTheme="minorHAnsi" w:cs="Times New Roman"/>
          <w:kern w:val="0"/>
          <w:lang w:eastAsia="en-US" w:bidi="ar-SA"/>
        </w:rPr>
        <w:t xml:space="preserve">The adsorbate is nitrogen.  </w:t>
      </w:r>
      <w:r w:rsidR="00CF5CA3" w:rsidRPr="00CF5CA3">
        <w:rPr>
          <w:rFonts w:eastAsiaTheme="minorHAnsi" w:cs="Times New Roman"/>
          <w:kern w:val="0"/>
          <w:lang w:eastAsia="en-US" w:bidi="ar-SA"/>
        </w:rPr>
        <w:t>The last two point listed in their Table 1 were from a different sample type (LiChrospher Si-5000) and is not used here, since it is unlikely to be chemically identical.  In the KJO case, the temperature from the data was calculated to be about 0.01</w:t>
      </w:r>
      <w:r w:rsidR="00417B23">
        <w:softHyphen/>
      </w:r>
      <w:r w:rsidR="00417B23">
        <w:softHyphen/>
      </w:r>
      <w:r w:rsidR="00CF5CA3" w:rsidRPr="00CF5CA3">
        <w:rPr>
          <w:rFonts w:eastAsiaTheme="minorHAnsi" w:cs="Times New Roman"/>
          <w:kern w:val="0"/>
          <w:lang w:eastAsia="en-US" w:bidi="ar-SA"/>
        </w:rPr>
        <w:t>K too warm, which creates little problems and changes the output parameters very little.  They must have taken special care to guard against this error, since, normally in the past, Micromeritics instruments lacked such control.  The sample had slight heterogeneity.  Both the heterogeneity and temperature correction were use for a 4</w:t>
      </w:r>
      <w:r>
        <w:rPr>
          <w:rFonts w:eastAsiaTheme="minorHAnsi" w:cs="Times New Roman"/>
          <w:kern w:val="0"/>
          <w:lang w:eastAsia="en-US" w:bidi="ar-SA"/>
        </w:rPr>
        <w:t>-</w:t>
      </w:r>
      <w:r w:rsidR="00CF5CA3" w:rsidRPr="00CF5CA3">
        <w:rPr>
          <w:rFonts w:eastAsiaTheme="minorHAnsi" w:cs="Times New Roman"/>
          <w:kern w:val="0"/>
          <w:lang w:eastAsia="en-US" w:bidi="ar-SA"/>
        </w:rPr>
        <w:t>parameter fit and were not used for a 2</w:t>
      </w:r>
      <w:r>
        <w:rPr>
          <w:rFonts w:eastAsiaTheme="minorHAnsi" w:cs="Times New Roman"/>
          <w:kern w:val="0"/>
          <w:lang w:eastAsia="en-US" w:bidi="ar-SA"/>
        </w:rPr>
        <w:t>-</w:t>
      </w:r>
      <w:r w:rsidR="00CF5CA3" w:rsidRPr="00CF5CA3">
        <w:rPr>
          <w:rFonts w:eastAsiaTheme="minorHAnsi" w:cs="Times New Roman"/>
          <w:kern w:val="0"/>
          <w:lang w:eastAsia="en-US" w:bidi="ar-SA"/>
        </w:rPr>
        <w:t xml:space="preserve">parameter fit.  </w:t>
      </w:r>
    </w:p>
    <w:p w14:paraId="34606DE9" w14:textId="6DB86463" w:rsidR="00CF5CA3" w:rsidRPr="00417B23" w:rsidRDefault="00CF5CA3" w:rsidP="007C2934">
      <w:pPr>
        <w:rPr>
          <w:rFonts w:eastAsiaTheme="minorHAnsi" w:cs="Times New Roman"/>
          <w:kern w:val="0"/>
          <w:lang w:eastAsia="en-US" w:bidi="ar-SA"/>
        </w:rPr>
      </w:pPr>
      <w:r w:rsidRPr="00CF5CA3">
        <w:rPr>
          <w:rFonts w:eastAsiaTheme="minorHAnsi" w:cs="Times New Roman"/>
          <w:kern w:val="0"/>
          <w:lang w:eastAsia="en-US" w:bidi="ar-SA"/>
        </w:rPr>
        <w:lastRenderedPageBreak/>
        <w:t xml:space="preserve">There parameters are provided in </w:t>
      </w:r>
      <w:r w:rsidR="00E64F08" w:rsidRPr="00E64F08">
        <w:rPr>
          <w:rFonts w:eastAsiaTheme="minorHAnsi" w:cs="Times New Roman"/>
          <w:b/>
          <w:bCs/>
          <w:kern w:val="0"/>
          <w:lang w:eastAsia="en-US" w:bidi="ar-SA"/>
        </w:rPr>
        <w:t>Table 1</w:t>
      </w:r>
      <w:r w:rsidRPr="00CF5CA3">
        <w:rPr>
          <w:rFonts w:eastAsiaTheme="minorHAnsi" w:cs="Times New Roman"/>
          <w:kern w:val="0"/>
          <w:lang w:eastAsia="en-US" w:bidi="ar-SA"/>
        </w:rPr>
        <w:t>.</w:t>
      </w:r>
      <w:r w:rsidR="00417B23">
        <w:rPr>
          <w:rFonts w:eastAsiaTheme="minorHAnsi" w:cs="Times New Roman"/>
          <w:kern w:val="0"/>
          <w:lang w:eastAsia="en-US" w:bidi="ar-SA"/>
        </w:rPr>
        <w:t xml:space="preserve">  </w:t>
      </w:r>
      <w:r w:rsidR="00417B23">
        <w:rPr>
          <w:rFonts w:eastAsiaTheme="minorHAnsi" w:cs="Times New Roman"/>
          <w:i/>
          <w:iCs/>
          <w:kern w:val="0"/>
          <w:lang w:eastAsia="en-US" w:bidi="ar-SA"/>
        </w:rPr>
        <w:t>Figure 6</w:t>
      </w:r>
      <w:r w:rsidR="00417B23">
        <w:rPr>
          <w:rFonts w:eastAsiaTheme="minorHAnsi" w:cs="Times New Roman"/>
          <w:kern w:val="0"/>
          <w:lang w:eastAsia="en-US" w:bidi="ar-SA"/>
        </w:rPr>
        <w:t xml:space="preserve"> </w:t>
      </w:r>
      <w:r w:rsidR="007C2934">
        <w:rPr>
          <w:rFonts w:eastAsiaTheme="minorHAnsi" w:cs="Times New Roman"/>
          <w:kern w:val="0"/>
          <w:lang w:eastAsia="en-US" w:bidi="ar-SA"/>
        </w:rPr>
        <w:t xml:space="preserve">is a plot of the data </w:t>
      </w:r>
      <w:r w:rsidR="00417B23">
        <w:rPr>
          <w:rFonts w:eastAsiaTheme="minorHAnsi" w:cs="Times New Roman"/>
          <w:kern w:val="0"/>
          <w:lang w:eastAsia="en-US" w:bidi="ar-SA"/>
        </w:rPr>
        <w:t>us</w:t>
      </w:r>
      <w:r w:rsidR="007C2934">
        <w:rPr>
          <w:rFonts w:eastAsiaTheme="minorHAnsi" w:cs="Times New Roman"/>
          <w:kern w:val="0"/>
          <w:lang w:eastAsia="en-US" w:bidi="ar-SA"/>
        </w:rPr>
        <w:t>ing</w:t>
      </w:r>
      <w:r w:rsidR="00417B23">
        <w:rPr>
          <w:rFonts w:eastAsiaTheme="minorHAnsi" w:cs="Times New Roman"/>
          <w:kern w:val="0"/>
          <w:lang w:eastAsia="en-US" w:bidi="ar-SA"/>
        </w:rPr>
        <w:t xml:space="preserve"> the 4-parmater fit.  It made little difference overall to the 2</w:t>
      </w:r>
      <w:r w:rsidR="00417B23">
        <w:rPr>
          <w:rFonts w:eastAsiaTheme="minorHAnsi" w:cs="Times New Roman"/>
          <w:kern w:val="0"/>
          <w:lang w:eastAsia="en-US" w:bidi="ar-SA"/>
        </w:rPr>
        <w:noBreakHyphen/>
        <w:t>parameter fit, but the heterogeneity make a large relative difference at low pressures.</w:t>
      </w:r>
    </w:p>
    <w:p w14:paraId="5DD35128" w14:textId="77777777" w:rsidR="002C4BDC" w:rsidRPr="00E64F08" w:rsidRDefault="002C4BDC" w:rsidP="00E64F08">
      <w:pPr>
        <w:ind w:left="720"/>
        <w:rPr>
          <w:rFonts w:eastAsiaTheme="minorHAnsi" w:cs="Times New Roman"/>
          <w:kern w:val="0"/>
          <w:lang w:eastAsia="en-US" w:bidi="ar-SA"/>
        </w:rPr>
      </w:pPr>
    </w:p>
    <w:tbl>
      <w:tblPr>
        <w:tblStyle w:val="TableGrid"/>
        <w:tblW w:w="0" w:type="auto"/>
        <w:tblLook w:val="04A0" w:firstRow="1" w:lastRow="0" w:firstColumn="1" w:lastColumn="0" w:noHBand="0" w:noVBand="1"/>
      </w:tblPr>
      <w:tblGrid>
        <w:gridCol w:w="9350"/>
      </w:tblGrid>
      <w:tr w:rsidR="00517D9F" w14:paraId="2687315E" w14:textId="77777777" w:rsidTr="00517D9F">
        <w:tc>
          <w:tcPr>
            <w:tcW w:w="9350" w:type="dxa"/>
          </w:tcPr>
          <w:p w14:paraId="18679B02" w14:textId="77777777" w:rsidR="00417B23" w:rsidRDefault="00517D9F" w:rsidP="00417B23">
            <w:pPr>
              <w:keepNext/>
            </w:pPr>
            <w:r>
              <w:rPr>
                <w:rFonts w:cs="Times New Roman"/>
                <w:noProof/>
              </w:rPr>
              <w:drawing>
                <wp:inline distT="0" distB="0" distL="0" distR="0" wp14:anchorId="03A4F64D" wp14:editId="6316F3FB">
                  <wp:extent cx="5792896" cy="2026692"/>
                  <wp:effectExtent l="0" t="0" r="0" b="0"/>
                  <wp:docPr id="701205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05121"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843527" cy="2044406"/>
                          </a:xfrm>
                          <a:prstGeom prst="rect">
                            <a:avLst/>
                          </a:prstGeom>
                        </pic:spPr>
                      </pic:pic>
                    </a:graphicData>
                  </a:graphic>
                </wp:inline>
              </w:drawing>
            </w:r>
          </w:p>
          <w:p w14:paraId="3E8F9D02" w14:textId="4453324F" w:rsidR="00517D9F" w:rsidRPr="00917F63" w:rsidRDefault="00417B23" w:rsidP="00417B23">
            <w:pPr>
              <w:pStyle w:val="Caption"/>
              <w:rPr>
                <w:rFonts w:cs="Times New Roman"/>
                <w:i w:val="0"/>
                <w:iCs w:val="0"/>
              </w:rPr>
            </w:pPr>
            <w:r>
              <w:t xml:space="preserve">Figure </w:t>
            </w:r>
            <w:fldSimple w:instr=" SEQ Figure \* ARABIC ">
              <w:r>
                <w:rPr>
                  <w:noProof/>
                </w:rPr>
                <w:t>6</w:t>
              </w:r>
            </w:fldSimple>
            <w:r>
              <w:t xml:space="preserve"> Data by JKO for </w:t>
            </w:r>
            <w:r w:rsidR="00917F63">
              <w:t>a standard N</w:t>
            </w:r>
            <w:r w:rsidR="00917F63">
              <w:rPr>
                <w:vertAlign w:val="subscript"/>
              </w:rPr>
              <w:t>2</w:t>
            </w:r>
            <w:r w:rsidR="00917F63">
              <w:t xml:space="preserve"> isotherm.  The left graph shows fit on full </w:t>
            </w:r>
            <w:r w:rsidR="00917F63">
              <w:rPr>
                <w:rFonts w:cs="Times New Roman"/>
              </w:rPr>
              <w:t>χ</w:t>
            </w:r>
            <w:r w:rsidR="00917F63">
              <w:t xml:space="preserve">-plot.  The right graph show the low-pressure data on a </w:t>
            </w:r>
            <w:r w:rsidR="00917F63">
              <w:rPr>
                <w:rFonts w:cs="Times New Roman"/>
                <w:i w:val="0"/>
                <w:iCs w:val="0"/>
              </w:rPr>
              <w:t>Δχ</w:t>
            </w:r>
            <w:r w:rsidR="00917F63">
              <w:rPr>
                <w:i w:val="0"/>
                <w:iCs w:val="0"/>
              </w:rPr>
              <w:t xml:space="preserve"> </w:t>
            </w:r>
            <w:r w:rsidR="00917F63" w:rsidRPr="00917F63">
              <w:t>plot.</w:t>
            </w:r>
            <w:r w:rsidR="00917F63">
              <w:t xml:space="preserve">  To the eye, there seems to be little difference between the linear fit and the </w:t>
            </w:r>
            <w:r w:rsidR="00917F63">
              <w:rPr>
                <w:b/>
                <w:bCs/>
              </w:rPr>
              <w:t>Z</w:t>
            </w:r>
            <w:r w:rsidR="00917F63">
              <w:t xml:space="preserve"> distribution fit. </w:t>
            </w:r>
          </w:p>
        </w:tc>
      </w:tr>
    </w:tbl>
    <w:p w14:paraId="473E7C12" w14:textId="593CA4DF" w:rsidR="00B93462" w:rsidRDefault="002C4BDC" w:rsidP="008C021B">
      <w:pPr>
        <w:rPr>
          <w:rFonts w:cs="Times New Roman"/>
        </w:rPr>
      </w:pPr>
      <w:r>
        <w:rPr>
          <w:rFonts w:cs="Times New Roman"/>
        </w:rPr>
        <w:t xml:space="preserve"> </w:t>
      </w:r>
    </w:p>
    <w:tbl>
      <w:tblPr>
        <w:tblStyle w:val="TableGrid"/>
        <w:tblW w:w="0" w:type="auto"/>
        <w:tblLook w:val="04A0" w:firstRow="1" w:lastRow="0" w:firstColumn="1" w:lastColumn="0" w:noHBand="0" w:noVBand="1"/>
      </w:tblPr>
      <w:tblGrid>
        <w:gridCol w:w="1870"/>
        <w:gridCol w:w="1870"/>
        <w:gridCol w:w="1475"/>
        <w:gridCol w:w="1980"/>
        <w:gridCol w:w="2155"/>
      </w:tblGrid>
      <w:tr w:rsidR="002C4BDC" w:rsidRPr="00D5732D" w14:paraId="7D264847" w14:textId="77777777" w:rsidTr="00565547">
        <w:tc>
          <w:tcPr>
            <w:tcW w:w="9350" w:type="dxa"/>
            <w:gridSpan w:val="5"/>
          </w:tcPr>
          <w:p w14:paraId="4A0000AA" w14:textId="75D5C491" w:rsidR="002C4BDC" w:rsidRPr="002C4BDC" w:rsidRDefault="002C4BDC" w:rsidP="00CF5CA3">
            <w:pPr>
              <w:autoSpaceDE w:val="0"/>
              <w:autoSpaceDN w:val="0"/>
              <w:adjustRightInd w:val="0"/>
              <w:rPr>
                <w:rFonts w:eastAsiaTheme="minorHAnsi" w:cs="Times New Roman"/>
                <w:b/>
                <w:bCs/>
                <w:kern w:val="0"/>
                <w:sz w:val="20"/>
                <w:szCs w:val="20"/>
                <w:lang w:eastAsia="en-US" w:bidi="ar-SA"/>
              </w:rPr>
            </w:pPr>
            <w:r w:rsidRPr="002C4BDC">
              <w:rPr>
                <w:rFonts w:eastAsiaTheme="minorHAnsi" w:cs="Times New Roman"/>
                <w:b/>
                <w:bCs/>
                <w:kern w:val="0"/>
                <w:sz w:val="20"/>
                <w:szCs w:val="20"/>
                <w:lang w:eastAsia="en-US" w:bidi="ar-SA"/>
              </w:rPr>
              <w:t>Table 1</w:t>
            </w:r>
            <w:r w:rsidR="00417B23">
              <w:rPr>
                <w:rFonts w:eastAsiaTheme="minorHAnsi" w:cs="Times New Roman"/>
                <w:b/>
                <w:bCs/>
                <w:kern w:val="0"/>
                <w:sz w:val="20"/>
                <w:szCs w:val="20"/>
                <w:lang w:eastAsia="en-US" w:bidi="ar-SA"/>
              </w:rPr>
              <w:t xml:space="preserve"> </w:t>
            </w:r>
            <w:r w:rsidR="00417B23">
              <w:rPr>
                <w:lang w:val="en-CA"/>
              </w:rPr>
              <w:fldChar w:fldCharType="begin"/>
            </w:r>
            <w:r w:rsidR="00417B23">
              <w:rPr>
                <w:lang w:val="en-CA"/>
              </w:rPr>
              <w:instrText xml:space="preserve"> SEQ CHAPTER \h \r 1</w:instrText>
            </w:r>
            <w:r w:rsidR="00417B23">
              <w:rPr>
                <w:lang w:val="en-CA"/>
              </w:rPr>
              <w:fldChar w:fldCharType="end"/>
            </w:r>
            <w:r w:rsidR="00417B23">
              <w:t xml:space="preserve"> parameters from data by JKO</w:t>
            </w:r>
          </w:p>
        </w:tc>
      </w:tr>
      <w:tr w:rsidR="002C4BDC" w:rsidRPr="00D5732D" w14:paraId="0D583E3B" w14:textId="77777777" w:rsidTr="00417B23">
        <w:tc>
          <w:tcPr>
            <w:tcW w:w="1870" w:type="dxa"/>
          </w:tcPr>
          <w:p w14:paraId="7B6752C9" w14:textId="3ED47DAD"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With Z distribution</w:t>
            </w:r>
            <w:r w:rsidR="00417B23">
              <w:rPr>
                <w:rFonts w:eastAsiaTheme="minorHAnsi" w:cs="Times New Roman"/>
                <w:kern w:val="0"/>
                <w:sz w:val="20"/>
                <w:szCs w:val="20"/>
                <w:lang w:eastAsia="en-US" w:bidi="ar-SA"/>
              </w:rPr>
              <w:t>:</w:t>
            </w:r>
          </w:p>
        </w:tc>
        <w:tc>
          <w:tcPr>
            <w:tcW w:w="1870" w:type="dxa"/>
          </w:tcPr>
          <w:p w14:paraId="45DFE27A" w14:textId="1AA88536" w:rsidR="002C4BDC" w:rsidRPr="00D5732D" w:rsidRDefault="00417B23" w:rsidP="00CF5CA3">
            <w:pPr>
              <w:autoSpaceDE w:val="0"/>
              <w:autoSpaceDN w:val="0"/>
              <w:adjustRightInd w:val="0"/>
              <w:rPr>
                <w:rFonts w:eastAsiaTheme="minorHAnsi" w:cs="Times New Roman"/>
                <w:kern w:val="0"/>
                <w:sz w:val="20"/>
                <w:szCs w:val="20"/>
                <w:lang w:eastAsia="en-US" w:bidi="ar-SA"/>
              </w:rPr>
            </w:pPr>
            <w:r>
              <w:rPr>
                <w:rFonts w:eastAsiaTheme="minorHAnsi" w:cs="Times New Roman"/>
                <w:kern w:val="0"/>
                <w:sz w:val="20"/>
                <w:szCs w:val="20"/>
                <w:lang w:eastAsia="en-US" w:bidi="ar-SA"/>
              </w:rPr>
              <w:t>With heterogeneity</w:t>
            </w:r>
          </w:p>
        </w:tc>
        <w:tc>
          <w:tcPr>
            <w:tcW w:w="1475" w:type="dxa"/>
          </w:tcPr>
          <w:p w14:paraId="5A4D76A8"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39004D18" w14:textId="7E95F7B9"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linear:</w:t>
            </w:r>
          </w:p>
        </w:tc>
        <w:tc>
          <w:tcPr>
            <w:tcW w:w="2155" w:type="dxa"/>
          </w:tcPr>
          <w:p w14:paraId="5B9A6556" w14:textId="7E2A9E25" w:rsidR="002C4BDC" w:rsidRPr="00D5732D" w:rsidRDefault="00417B23" w:rsidP="00CF5CA3">
            <w:pPr>
              <w:autoSpaceDE w:val="0"/>
              <w:autoSpaceDN w:val="0"/>
              <w:adjustRightInd w:val="0"/>
              <w:rPr>
                <w:rFonts w:eastAsiaTheme="minorHAnsi" w:cs="Times New Roman"/>
                <w:kern w:val="0"/>
                <w:sz w:val="20"/>
                <w:szCs w:val="20"/>
                <w:lang w:eastAsia="en-US" w:bidi="ar-SA"/>
              </w:rPr>
            </w:pPr>
            <w:r>
              <w:rPr>
                <w:rFonts w:eastAsiaTheme="minorHAnsi" w:cs="Times New Roman"/>
                <w:kern w:val="0"/>
                <w:sz w:val="20"/>
                <w:szCs w:val="20"/>
                <w:lang w:eastAsia="en-US" w:bidi="ar-SA"/>
              </w:rPr>
              <w:t xml:space="preserve">Ignoring </w:t>
            </w:r>
            <w:r w:rsidR="00917F63">
              <w:rPr>
                <w:rFonts w:eastAsiaTheme="minorHAnsi" w:cs="Times New Roman"/>
                <w:kern w:val="0"/>
                <w:sz w:val="20"/>
                <w:szCs w:val="20"/>
                <w:lang w:eastAsia="en-US" w:bidi="ar-SA"/>
              </w:rPr>
              <w:t>heterogeneity</w:t>
            </w:r>
          </w:p>
        </w:tc>
      </w:tr>
      <w:tr w:rsidR="002C4BDC" w:rsidRPr="00D5732D" w14:paraId="24819024" w14:textId="77777777" w:rsidTr="00417B23">
        <w:tc>
          <w:tcPr>
            <w:tcW w:w="1870" w:type="dxa"/>
          </w:tcPr>
          <w:p w14:paraId="0D580C91" w14:textId="177C19A4"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ascii="Cambria Math" w:eastAsiaTheme="minorHAnsi" w:hAnsi="Cambria Math" w:cs="Cambria Math"/>
                <w:kern w:val="0"/>
                <w:sz w:val="20"/>
                <w:szCs w:val="20"/>
                <w:lang w:eastAsia="en-US" w:bidi="ar-SA"/>
              </w:rPr>
              <w:t>〈</w:t>
            </w:r>
            <w:r w:rsidRPr="00D5732D">
              <w:rPr>
                <w:rFonts w:eastAsiaTheme="minorHAnsi" w:cs="Times New Roman"/>
                <w:kern w:val="0"/>
                <w:sz w:val="20"/>
                <w:szCs w:val="20"/>
                <w:lang w:eastAsia="en-US" w:bidi="ar-SA"/>
              </w:rPr>
              <w:t>χ</w:t>
            </w:r>
            <w:r w:rsidRPr="00E64F08">
              <w:rPr>
                <w:rFonts w:eastAsiaTheme="minorHAnsi" w:cs="Times New Roman"/>
                <w:kern w:val="0"/>
                <w:sz w:val="20"/>
                <w:szCs w:val="20"/>
                <w:vertAlign w:val="subscript"/>
                <w:lang w:eastAsia="en-US" w:bidi="ar-SA"/>
              </w:rPr>
              <w:t>ς</w:t>
            </w:r>
            <w:r w:rsidRPr="00D5732D">
              <w:rPr>
                <w:rFonts w:ascii="Cambria Math" w:eastAsiaTheme="minorHAnsi" w:hAnsi="Cambria Math" w:cs="Cambria Math"/>
                <w:kern w:val="0"/>
                <w:sz w:val="20"/>
                <w:szCs w:val="20"/>
                <w:lang w:eastAsia="en-US" w:bidi="ar-SA"/>
              </w:rPr>
              <w:t>〉</w:t>
            </w:r>
            <w:r w:rsidRPr="00D5732D">
              <w:rPr>
                <w:rFonts w:eastAsiaTheme="minorHAnsi" w:cs="Times New Roman"/>
                <w:kern w:val="0"/>
                <w:sz w:val="20"/>
                <w:szCs w:val="20"/>
                <w:lang w:eastAsia="en-US" w:bidi="ar-SA"/>
              </w:rPr>
              <w:t xml:space="preserve"> =</w:t>
            </w:r>
          </w:p>
        </w:tc>
        <w:tc>
          <w:tcPr>
            <w:tcW w:w="1870" w:type="dxa"/>
          </w:tcPr>
          <w:p w14:paraId="05E6D3D2" w14:textId="118D509D"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-2.6123</w:t>
            </w:r>
            <w:r>
              <w:rPr>
                <w:rFonts w:eastAsiaTheme="minorHAnsi" w:cs="Times New Roman"/>
                <w:kern w:val="0"/>
                <w:sz w:val="20"/>
                <w:szCs w:val="20"/>
                <w:lang w:eastAsia="en-US" w:bidi="ar-SA"/>
              </w:rPr>
              <w:t xml:space="preserve"> *</w:t>
            </w:r>
          </w:p>
        </w:tc>
        <w:tc>
          <w:tcPr>
            <w:tcW w:w="1475" w:type="dxa"/>
          </w:tcPr>
          <w:p w14:paraId="3F30C0E8"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0358DB29" w14:textId="68CDEE02"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χ</w:t>
            </w:r>
            <w:r w:rsidRPr="00E64F08">
              <w:rPr>
                <w:rFonts w:eastAsiaTheme="minorHAnsi" w:cs="Times New Roman"/>
                <w:kern w:val="0"/>
                <w:sz w:val="20"/>
                <w:szCs w:val="20"/>
                <w:vertAlign w:val="subscript"/>
                <w:lang w:eastAsia="en-US" w:bidi="ar-SA"/>
              </w:rPr>
              <w:t>ς</w:t>
            </w:r>
            <w:r w:rsidRPr="00D5732D">
              <w:rPr>
                <w:rFonts w:eastAsiaTheme="minorHAnsi" w:cs="Times New Roman"/>
                <w:kern w:val="0"/>
                <w:sz w:val="20"/>
                <w:szCs w:val="20"/>
                <w:lang w:eastAsia="en-US" w:bidi="ar-SA"/>
              </w:rPr>
              <w:t xml:space="preserve"> =</w:t>
            </w:r>
          </w:p>
        </w:tc>
        <w:tc>
          <w:tcPr>
            <w:tcW w:w="2155" w:type="dxa"/>
          </w:tcPr>
          <w:p w14:paraId="02DC6C65" w14:textId="2BD3AF45"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-2.6213</w:t>
            </w:r>
            <w:r>
              <w:rPr>
                <w:rFonts w:eastAsiaTheme="minorHAnsi" w:cs="Times New Roman"/>
                <w:kern w:val="0"/>
                <w:sz w:val="20"/>
                <w:szCs w:val="20"/>
                <w:lang w:eastAsia="en-US" w:bidi="ar-SA"/>
              </w:rPr>
              <w:t xml:space="preserve"> *</w:t>
            </w:r>
          </w:p>
        </w:tc>
      </w:tr>
      <w:tr w:rsidR="002C4BDC" w:rsidRPr="00D5732D" w14:paraId="55DC2FC6" w14:textId="77777777" w:rsidTr="00417B23">
        <w:tc>
          <w:tcPr>
            <w:tcW w:w="1870" w:type="dxa"/>
          </w:tcPr>
          <w:p w14:paraId="19838D0C"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ascii="Cambria Math" w:eastAsiaTheme="minorHAnsi" w:hAnsi="Cambria Math" w:cs="Cambria Math"/>
                <w:kern w:val="0"/>
                <w:sz w:val="20"/>
                <w:szCs w:val="20"/>
                <w:lang w:eastAsia="en-US" w:bidi="ar-SA"/>
              </w:rPr>
              <w:t>〈</w:t>
            </w:r>
            <w:r w:rsidRPr="00D5732D">
              <w:rPr>
                <w:rFonts w:eastAsiaTheme="minorHAnsi" w:cs="Times New Roman"/>
                <w:i/>
                <w:iCs/>
                <w:kern w:val="0"/>
                <w:sz w:val="20"/>
                <w:szCs w:val="20"/>
                <w:lang w:eastAsia="en-US" w:bidi="ar-SA"/>
              </w:rPr>
              <w:t>E</w:t>
            </w:r>
            <w:r w:rsidRPr="00D5732D">
              <w:rPr>
                <w:rFonts w:eastAsiaTheme="minorHAnsi" w:cs="Times New Roman"/>
                <w:kern w:val="0"/>
                <w:sz w:val="20"/>
                <w:szCs w:val="20"/>
                <w:vertAlign w:val="subscript"/>
                <w:lang w:eastAsia="en-US" w:bidi="ar-SA"/>
              </w:rPr>
              <w:t>a</w:t>
            </w:r>
            <w:r w:rsidRPr="00D5732D">
              <w:rPr>
                <w:rFonts w:ascii="Cambria Math" w:eastAsiaTheme="minorHAnsi" w:hAnsi="Cambria Math" w:cs="Cambria Math"/>
                <w:kern w:val="0"/>
                <w:sz w:val="20"/>
                <w:szCs w:val="20"/>
                <w:lang w:eastAsia="en-US" w:bidi="ar-SA"/>
              </w:rPr>
              <w:t>〉</w:t>
            </w:r>
            <w:r w:rsidRPr="00D5732D">
              <w:rPr>
                <w:rFonts w:eastAsiaTheme="minorHAnsi" w:cs="Times New Roman"/>
                <w:kern w:val="0"/>
                <w:sz w:val="20"/>
                <w:szCs w:val="20"/>
                <w:lang w:eastAsia="en-US" w:bidi="ar-SA"/>
              </w:rPr>
              <w:t xml:space="preserve"> =</w:t>
            </w:r>
          </w:p>
        </w:tc>
        <w:tc>
          <w:tcPr>
            <w:tcW w:w="1870" w:type="dxa"/>
          </w:tcPr>
          <w:p w14:paraId="66C6C246"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8.84 kJ mol</w:t>
            </w:r>
            <w:r w:rsidRPr="00D5732D">
              <w:rPr>
                <w:rFonts w:eastAsiaTheme="minorHAnsi" w:cs="Times New Roman"/>
                <w:kern w:val="0"/>
                <w:sz w:val="20"/>
                <w:szCs w:val="20"/>
                <w:vertAlign w:val="superscript"/>
                <w:lang w:eastAsia="en-US" w:bidi="ar-SA"/>
              </w:rPr>
              <w:t>-1</w:t>
            </w:r>
          </w:p>
        </w:tc>
        <w:tc>
          <w:tcPr>
            <w:tcW w:w="1475" w:type="dxa"/>
          </w:tcPr>
          <w:p w14:paraId="672C24B1" w14:textId="77777777" w:rsidR="002C4BDC" w:rsidRPr="00D5732D" w:rsidRDefault="002C4BDC" w:rsidP="00CF5CA3">
            <w:pPr>
              <w:autoSpaceDE w:val="0"/>
              <w:autoSpaceDN w:val="0"/>
              <w:adjustRightInd w:val="0"/>
              <w:rPr>
                <w:rFonts w:eastAsiaTheme="minorHAnsi" w:cs="Times New Roman"/>
                <w:i/>
                <w:iCs/>
                <w:kern w:val="0"/>
                <w:sz w:val="20"/>
                <w:szCs w:val="20"/>
                <w:lang w:eastAsia="en-US" w:bidi="ar-SA"/>
              </w:rPr>
            </w:pPr>
          </w:p>
        </w:tc>
        <w:tc>
          <w:tcPr>
            <w:tcW w:w="1980" w:type="dxa"/>
          </w:tcPr>
          <w:p w14:paraId="7217EB1E" w14:textId="4C6559A0"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i/>
                <w:iCs/>
                <w:kern w:val="0"/>
                <w:sz w:val="20"/>
                <w:szCs w:val="20"/>
                <w:lang w:eastAsia="en-US" w:bidi="ar-SA"/>
              </w:rPr>
              <w:t>E</w:t>
            </w:r>
            <w:r w:rsidRPr="00D5732D">
              <w:rPr>
                <w:rFonts w:eastAsiaTheme="minorHAnsi" w:cs="Times New Roman"/>
                <w:kern w:val="0"/>
                <w:sz w:val="20"/>
                <w:szCs w:val="20"/>
                <w:vertAlign w:val="subscript"/>
                <w:lang w:eastAsia="en-US" w:bidi="ar-SA"/>
              </w:rPr>
              <w:t>a</w:t>
            </w:r>
            <w:r w:rsidRPr="00D5732D">
              <w:rPr>
                <w:rFonts w:eastAsiaTheme="minorHAnsi" w:cs="Times New Roman"/>
                <w:kern w:val="0"/>
                <w:sz w:val="20"/>
                <w:szCs w:val="20"/>
                <w:lang w:eastAsia="en-US" w:bidi="ar-SA"/>
              </w:rPr>
              <w:t xml:space="preserve"> =</w:t>
            </w:r>
          </w:p>
        </w:tc>
        <w:tc>
          <w:tcPr>
            <w:tcW w:w="2155" w:type="dxa"/>
          </w:tcPr>
          <w:p w14:paraId="1AA3C920"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8.92 kJ mol</w:t>
            </w:r>
            <w:r w:rsidRPr="00D5732D">
              <w:rPr>
                <w:rFonts w:eastAsiaTheme="minorHAnsi" w:cs="Times New Roman"/>
                <w:kern w:val="0"/>
                <w:sz w:val="20"/>
                <w:szCs w:val="20"/>
                <w:vertAlign w:val="superscript"/>
                <w:lang w:eastAsia="en-US" w:bidi="ar-SA"/>
              </w:rPr>
              <w:t>-1</w:t>
            </w:r>
          </w:p>
        </w:tc>
      </w:tr>
      <w:tr w:rsidR="002C4BDC" w:rsidRPr="00D5732D" w14:paraId="74FDB84E" w14:textId="77777777" w:rsidTr="00417B23">
        <w:tc>
          <w:tcPr>
            <w:tcW w:w="1870" w:type="dxa"/>
          </w:tcPr>
          <w:p w14:paraId="7B219339" w14:textId="5FAB2E32" w:rsidR="002C4BDC" w:rsidRPr="00D5732D" w:rsidRDefault="002C4BDC" w:rsidP="00CF5CA3">
            <w:pPr>
              <w:autoSpaceDE w:val="0"/>
              <w:autoSpaceDN w:val="0"/>
              <w:adjustRightInd w:val="0"/>
              <w:rPr>
                <w:rFonts w:eastAsiaTheme="minorHAnsi" w:cs="Times New Roman"/>
                <w:kern w:val="0"/>
                <w:sz w:val="20"/>
                <w:szCs w:val="20"/>
                <w:lang w:eastAsia="en-US" w:bidi="ar-SA"/>
              </w:rPr>
            </w:pPr>
            <w:r>
              <w:rPr>
                <w:rFonts w:eastAsiaTheme="minorHAnsi" w:cs="Times New Roman"/>
                <w:kern w:val="0"/>
                <w:sz w:val="20"/>
                <w:szCs w:val="20"/>
                <w:lang w:eastAsia="en-US" w:bidi="ar-SA"/>
              </w:rPr>
              <w:t>ς</w:t>
            </w:r>
            <w:r w:rsidRPr="00D5732D">
              <w:rPr>
                <w:rFonts w:eastAsiaTheme="minorHAnsi" w:cs="Times New Roman"/>
                <w:kern w:val="0"/>
                <w:sz w:val="20"/>
                <w:szCs w:val="20"/>
                <w:lang w:eastAsia="en-US" w:bidi="ar-SA"/>
              </w:rPr>
              <w:t xml:space="preserve"> =</w:t>
            </w:r>
          </w:p>
        </w:tc>
        <w:tc>
          <w:tcPr>
            <w:tcW w:w="1870" w:type="dxa"/>
          </w:tcPr>
          <w:p w14:paraId="5219D8CF" w14:textId="23C9B6B0"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0.2048</w:t>
            </w:r>
            <w:r>
              <w:rPr>
                <w:rFonts w:eastAsiaTheme="minorHAnsi" w:cs="Times New Roman"/>
                <w:kern w:val="0"/>
                <w:sz w:val="20"/>
                <w:szCs w:val="20"/>
                <w:lang w:eastAsia="en-US" w:bidi="ar-SA"/>
              </w:rPr>
              <w:t xml:space="preserve"> *</w:t>
            </w:r>
          </w:p>
        </w:tc>
        <w:tc>
          <w:tcPr>
            <w:tcW w:w="1475" w:type="dxa"/>
          </w:tcPr>
          <w:p w14:paraId="475A7E0A"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449F54A4" w14:textId="238884C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2155" w:type="dxa"/>
          </w:tcPr>
          <w:p w14:paraId="2F7EF072"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r>
      <w:tr w:rsidR="002C4BDC" w:rsidRPr="00D5732D" w14:paraId="15AF0CB8" w14:textId="77777777" w:rsidTr="00417B23">
        <w:tc>
          <w:tcPr>
            <w:tcW w:w="1870" w:type="dxa"/>
          </w:tcPr>
          <w:p w14:paraId="4494780E"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i/>
                <w:iCs/>
                <w:kern w:val="0"/>
                <w:sz w:val="20"/>
                <w:szCs w:val="20"/>
                <w:lang w:eastAsia="en-US" w:bidi="ar-SA"/>
              </w:rPr>
              <w:t>n</w:t>
            </w:r>
            <w:r w:rsidRPr="00D5732D">
              <w:rPr>
                <w:rFonts w:eastAsiaTheme="minorHAnsi" w:cs="Times New Roman"/>
                <w:kern w:val="0"/>
                <w:sz w:val="20"/>
                <w:szCs w:val="20"/>
                <w:vertAlign w:val="subscript"/>
                <w:lang w:eastAsia="en-US" w:bidi="ar-SA"/>
              </w:rPr>
              <w:t>m</w:t>
            </w:r>
            <w:r w:rsidRPr="00D5732D">
              <w:rPr>
                <w:rFonts w:eastAsiaTheme="minorHAnsi" w:cs="Times New Roman"/>
                <w:kern w:val="0"/>
                <w:sz w:val="20"/>
                <w:szCs w:val="20"/>
                <w:lang w:eastAsia="en-US" w:bidi="ar-SA"/>
              </w:rPr>
              <w:t xml:space="preserve"> =</w:t>
            </w:r>
          </w:p>
        </w:tc>
        <w:tc>
          <w:tcPr>
            <w:tcW w:w="1870" w:type="dxa"/>
          </w:tcPr>
          <w:p w14:paraId="0ECE8456" w14:textId="22908BE8" w:rsidR="002C4BDC" w:rsidRPr="002C4BDC"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0.1561 mmol g</w:t>
            </w:r>
            <w:r w:rsidRPr="00D5732D">
              <w:rPr>
                <w:rFonts w:eastAsiaTheme="minorHAnsi" w:cs="Times New Roman"/>
                <w:kern w:val="0"/>
                <w:sz w:val="20"/>
                <w:szCs w:val="20"/>
                <w:vertAlign w:val="superscript"/>
                <w:lang w:eastAsia="en-US" w:bidi="ar-SA"/>
              </w:rPr>
              <w:t>-1</w:t>
            </w:r>
            <w:r>
              <w:rPr>
                <w:rFonts w:eastAsiaTheme="minorHAnsi" w:cs="Times New Roman"/>
                <w:kern w:val="0"/>
                <w:sz w:val="20"/>
                <w:szCs w:val="20"/>
                <w:lang w:eastAsia="en-US" w:bidi="ar-SA"/>
              </w:rPr>
              <w:t xml:space="preserve"> *</w:t>
            </w:r>
          </w:p>
        </w:tc>
        <w:tc>
          <w:tcPr>
            <w:tcW w:w="1475" w:type="dxa"/>
          </w:tcPr>
          <w:p w14:paraId="686D2D51" w14:textId="77777777" w:rsidR="002C4BDC" w:rsidRPr="00D5732D" w:rsidRDefault="002C4BDC" w:rsidP="00CF5CA3">
            <w:pPr>
              <w:autoSpaceDE w:val="0"/>
              <w:autoSpaceDN w:val="0"/>
              <w:adjustRightInd w:val="0"/>
              <w:rPr>
                <w:rFonts w:eastAsiaTheme="minorHAnsi" w:cs="Times New Roman"/>
                <w:i/>
                <w:iCs/>
                <w:kern w:val="0"/>
                <w:sz w:val="20"/>
                <w:szCs w:val="20"/>
                <w:lang w:eastAsia="en-US" w:bidi="ar-SA"/>
              </w:rPr>
            </w:pPr>
          </w:p>
        </w:tc>
        <w:tc>
          <w:tcPr>
            <w:tcW w:w="1980" w:type="dxa"/>
          </w:tcPr>
          <w:p w14:paraId="23B78327" w14:textId="75A224DD"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i/>
                <w:iCs/>
                <w:kern w:val="0"/>
                <w:sz w:val="20"/>
                <w:szCs w:val="20"/>
                <w:lang w:eastAsia="en-US" w:bidi="ar-SA"/>
              </w:rPr>
              <w:t>n</w:t>
            </w:r>
            <w:r w:rsidRPr="00D5732D">
              <w:rPr>
                <w:rFonts w:eastAsiaTheme="minorHAnsi" w:cs="Times New Roman"/>
                <w:kern w:val="0"/>
                <w:sz w:val="20"/>
                <w:szCs w:val="20"/>
                <w:vertAlign w:val="subscript"/>
                <w:lang w:eastAsia="en-US" w:bidi="ar-SA"/>
              </w:rPr>
              <w:t>m</w:t>
            </w:r>
            <w:r w:rsidRPr="00D5732D">
              <w:rPr>
                <w:rFonts w:eastAsiaTheme="minorHAnsi" w:cs="Times New Roman"/>
                <w:kern w:val="0"/>
                <w:sz w:val="20"/>
                <w:szCs w:val="20"/>
                <w:lang w:eastAsia="en-US" w:bidi="ar-SA"/>
              </w:rPr>
              <w:t xml:space="preserve"> = </w:t>
            </w:r>
          </w:p>
        </w:tc>
        <w:tc>
          <w:tcPr>
            <w:tcW w:w="2155" w:type="dxa"/>
          </w:tcPr>
          <w:p w14:paraId="522F3394" w14:textId="2673E955" w:rsidR="002C4BDC" w:rsidRPr="002C4BDC"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0.156 mmol g</w:t>
            </w:r>
            <w:r w:rsidRPr="00D5732D">
              <w:rPr>
                <w:rFonts w:eastAsiaTheme="minorHAnsi" w:cs="Times New Roman"/>
                <w:kern w:val="0"/>
                <w:sz w:val="20"/>
                <w:szCs w:val="20"/>
                <w:vertAlign w:val="superscript"/>
                <w:lang w:eastAsia="en-US" w:bidi="ar-SA"/>
              </w:rPr>
              <w:t>-1</w:t>
            </w:r>
            <w:r>
              <w:rPr>
                <w:rFonts w:eastAsiaTheme="minorHAnsi" w:cs="Times New Roman"/>
                <w:kern w:val="0"/>
                <w:sz w:val="20"/>
                <w:szCs w:val="20"/>
                <w:lang w:eastAsia="en-US" w:bidi="ar-SA"/>
              </w:rPr>
              <w:t xml:space="preserve"> *</w:t>
            </w:r>
          </w:p>
        </w:tc>
      </w:tr>
      <w:tr w:rsidR="002C4BDC" w:rsidRPr="00D5732D" w14:paraId="3A4987D1" w14:textId="77777777" w:rsidTr="00417B23">
        <w:tc>
          <w:tcPr>
            <w:tcW w:w="1870" w:type="dxa"/>
          </w:tcPr>
          <w:p w14:paraId="77879EB8"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 xml:space="preserve">IUPAC </w:t>
            </w:r>
            <w:r w:rsidRPr="00D5732D">
              <w:rPr>
                <w:rFonts w:eastAsiaTheme="minorHAnsi" w:cs="Times New Roman"/>
                <w:i/>
                <w:iCs/>
                <w:kern w:val="0"/>
                <w:sz w:val="20"/>
                <w:szCs w:val="20"/>
                <w:lang w:eastAsia="en-US" w:bidi="ar-SA"/>
              </w:rPr>
              <w:t>A</w:t>
            </w:r>
            <w:r w:rsidRPr="00D5732D">
              <w:rPr>
                <w:rFonts w:eastAsiaTheme="minorHAnsi" w:cs="Times New Roman"/>
                <w:kern w:val="0"/>
                <w:sz w:val="20"/>
                <w:szCs w:val="20"/>
                <w:lang w:eastAsia="en-US" w:bidi="ar-SA"/>
              </w:rPr>
              <w:t xml:space="preserve"> =</w:t>
            </w:r>
          </w:p>
        </w:tc>
        <w:tc>
          <w:tcPr>
            <w:tcW w:w="1870" w:type="dxa"/>
          </w:tcPr>
          <w:p w14:paraId="28E0FBAC"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152.6 m</w:t>
            </w:r>
            <w:r w:rsidRPr="00D5732D">
              <w:rPr>
                <w:rFonts w:eastAsiaTheme="minorHAnsi" w:cs="Times New Roman"/>
                <w:kern w:val="0"/>
                <w:sz w:val="20"/>
                <w:szCs w:val="20"/>
                <w:vertAlign w:val="superscript"/>
                <w:lang w:eastAsia="en-US" w:bidi="ar-SA"/>
              </w:rPr>
              <w:t>2</w:t>
            </w:r>
            <w:r w:rsidRPr="00D5732D">
              <w:rPr>
                <w:rFonts w:eastAsiaTheme="minorHAnsi" w:cs="Times New Roman"/>
                <w:kern w:val="0"/>
                <w:sz w:val="20"/>
                <w:szCs w:val="20"/>
                <w:lang w:eastAsia="en-US" w:bidi="ar-SA"/>
              </w:rPr>
              <w:t xml:space="preserve"> g</w:t>
            </w:r>
            <w:r w:rsidRPr="00D5732D">
              <w:rPr>
                <w:rFonts w:eastAsiaTheme="minorHAnsi" w:cs="Times New Roman"/>
                <w:kern w:val="0"/>
                <w:sz w:val="20"/>
                <w:szCs w:val="20"/>
                <w:vertAlign w:val="superscript"/>
                <w:lang w:eastAsia="en-US" w:bidi="ar-SA"/>
              </w:rPr>
              <w:t>-1</w:t>
            </w:r>
          </w:p>
        </w:tc>
        <w:tc>
          <w:tcPr>
            <w:tcW w:w="1475" w:type="dxa"/>
          </w:tcPr>
          <w:p w14:paraId="5525AF4E"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5A23AEA7" w14:textId="3F706028"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 xml:space="preserve">IUPAC </w:t>
            </w:r>
            <w:r w:rsidRPr="00D5732D">
              <w:rPr>
                <w:rFonts w:eastAsiaTheme="minorHAnsi" w:cs="Times New Roman"/>
                <w:i/>
                <w:iCs/>
                <w:kern w:val="0"/>
                <w:sz w:val="20"/>
                <w:szCs w:val="20"/>
                <w:lang w:eastAsia="en-US" w:bidi="ar-SA"/>
              </w:rPr>
              <w:t>A</w:t>
            </w:r>
            <w:r w:rsidRPr="00D5732D">
              <w:rPr>
                <w:rFonts w:eastAsiaTheme="minorHAnsi" w:cs="Times New Roman"/>
                <w:kern w:val="0"/>
                <w:sz w:val="20"/>
                <w:szCs w:val="20"/>
                <w:lang w:eastAsia="en-US" w:bidi="ar-SA"/>
              </w:rPr>
              <w:t xml:space="preserve"> =</w:t>
            </w:r>
          </w:p>
        </w:tc>
        <w:tc>
          <w:tcPr>
            <w:tcW w:w="2155" w:type="dxa"/>
          </w:tcPr>
          <w:p w14:paraId="25F02D36"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152.0 m</w:t>
            </w:r>
            <w:r w:rsidRPr="00D5732D">
              <w:rPr>
                <w:rFonts w:eastAsiaTheme="minorHAnsi" w:cs="Times New Roman"/>
                <w:kern w:val="0"/>
                <w:sz w:val="20"/>
                <w:szCs w:val="20"/>
                <w:vertAlign w:val="superscript"/>
                <w:lang w:eastAsia="en-US" w:bidi="ar-SA"/>
              </w:rPr>
              <w:t>2</w:t>
            </w:r>
            <w:r w:rsidRPr="00D5732D">
              <w:rPr>
                <w:rFonts w:eastAsiaTheme="minorHAnsi" w:cs="Times New Roman"/>
                <w:kern w:val="0"/>
                <w:sz w:val="20"/>
                <w:szCs w:val="20"/>
                <w:lang w:eastAsia="en-US" w:bidi="ar-SA"/>
              </w:rPr>
              <w:t xml:space="preserve"> g</w:t>
            </w:r>
            <w:r w:rsidRPr="00D5732D">
              <w:rPr>
                <w:rFonts w:eastAsiaTheme="minorHAnsi" w:cs="Times New Roman"/>
                <w:kern w:val="0"/>
                <w:sz w:val="20"/>
                <w:szCs w:val="20"/>
                <w:vertAlign w:val="superscript"/>
                <w:lang w:eastAsia="en-US" w:bidi="ar-SA"/>
              </w:rPr>
              <w:t>-1</w:t>
            </w:r>
          </w:p>
        </w:tc>
      </w:tr>
      <w:tr w:rsidR="002C4BDC" w:rsidRPr="00D5732D" w14:paraId="442C98ED" w14:textId="77777777" w:rsidTr="00417B23">
        <w:tc>
          <w:tcPr>
            <w:tcW w:w="1870" w:type="dxa"/>
          </w:tcPr>
          <w:p w14:paraId="31EC2994" w14:textId="50542105"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i/>
                <w:iCs/>
                <w:kern w:val="0"/>
                <w:sz w:val="20"/>
                <w:szCs w:val="20"/>
                <w:lang w:eastAsia="en-US" w:bidi="ar-SA"/>
              </w:rPr>
              <w:t>P</w:t>
            </w:r>
            <w:r w:rsidRPr="00D5732D">
              <w:rPr>
                <w:rFonts w:eastAsiaTheme="minorHAnsi" w:cs="Times New Roman"/>
                <w:kern w:val="0"/>
                <w:sz w:val="20"/>
                <w:szCs w:val="20"/>
                <w:vertAlign w:val="subscript"/>
                <w:lang w:eastAsia="en-US" w:bidi="ar-SA"/>
              </w:rPr>
              <w:t>vap</w:t>
            </w:r>
            <w:r w:rsidRPr="00D5732D">
              <w:rPr>
                <w:rFonts w:eastAsiaTheme="minorHAnsi" w:cs="Times New Roman"/>
                <w:kern w:val="0"/>
                <w:sz w:val="20"/>
                <w:szCs w:val="20"/>
                <w:lang w:eastAsia="en-US" w:bidi="ar-SA"/>
              </w:rPr>
              <w:t xml:space="preserve"> =</w:t>
            </w:r>
          </w:p>
        </w:tc>
        <w:tc>
          <w:tcPr>
            <w:tcW w:w="1870" w:type="dxa"/>
          </w:tcPr>
          <w:p w14:paraId="4C03E5A3" w14:textId="18F16256"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1.0089</w:t>
            </w:r>
            <w:r>
              <w:rPr>
                <w:rFonts w:eastAsiaTheme="minorHAnsi" w:cs="Times New Roman"/>
                <w:kern w:val="0"/>
                <w:sz w:val="20"/>
                <w:szCs w:val="20"/>
                <w:lang w:eastAsia="en-US" w:bidi="ar-SA"/>
              </w:rPr>
              <w:t xml:space="preserve"> bar *</w:t>
            </w:r>
          </w:p>
        </w:tc>
        <w:tc>
          <w:tcPr>
            <w:tcW w:w="1475" w:type="dxa"/>
          </w:tcPr>
          <w:p w14:paraId="542965B1"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4C8D7402" w14:textId="21C315D6"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2155" w:type="dxa"/>
          </w:tcPr>
          <w:p w14:paraId="69A849BD"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r>
      <w:tr w:rsidR="002C4BDC" w:rsidRPr="00D5732D" w14:paraId="6A0E6457" w14:textId="77777777" w:rsidTr="00417B23">
        <w:tc>
          <w:tcPr>
            <w:tcW w:w="1870" w:type="dxa"/>
          </w:tcPr>
          <w:p w14:paraId="7DF38659"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σ (fit) =</w:t>
            </w:r>
          </w:p>
        </w:tc>
        <w:tc>
          <w:tcPr>
            <w:tcW w:w="1870" w:type="dxa"/>
          </w:tcPr>
          <w:p w14:paraId="027604C3"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7.63×10</w:t>
            </w:r>
            <w:r w:rsidRPr="00D5732D">
              <w:rPr>
                <w:rFonts w:eastAsiaTheme="minorHAnsi" w:cs="Times New Roman"/>
                <w:kern w:val="0"/>
                <w:sz w:val="20"/>
                <w:szCs w:val="20"/>
                <w:vertAlign w:val="superscript"/>
                <w:lang w:eastAsia="en-US" w:bidi="ar-SA"/>
              </w:rPr>
              <w:t>-5</w:t>
            </w:r>
            <w:r w:rsidRPr="00D5732D">
              <w:rPr>
                <w:rFonts w:eastAsiaTheme="minorHAnsi" w:cs="Times New Roman"/>
                <w:kern w:val="0"/>
                <w:sz w:val="20"/>
                <w:szCs w:val="20"/>
                <w:lang w:eastAsia="en-US" w:bidi="ar-SA"/>
              </w:rPr>
              <w:t xml:space="preserve"> mmol g</w:t>
            </w:r>
            <w:r w:rsidRPr="00D5732D">
              <w:rPr>
                <w:rFonts w:eastAsiaTheme="minorHAnsi" w:cs="Times New Roman"/>
                <w:kern w:val="0"/>
                <w:sz w:val="20"/>
                <w:szCs w:val="20"/>
                <w:vertAlign w:val="superscript"/>
                <w:lang w:eastAsia="en-US" w:bidi="ar-SA"/>
              </w:rPr>
              <w:t>-1</w:t>
            </w:r>
          </w:p>
        </w:tc>
        <w:tc>
          <w:tcPr>
            <w:tcW w:w="1475" w:type="dxa"/>
          </w:tcPr>
          <w:p w14:paraId="52A8419B"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p>
        </w:tc>
        <w:tc>
          <w:tcPr>
            <w:tcW w:w="1980" w:type="dxa"/>
          </w:tcPr>
          <w:p w14:paraId="04A16D35" w14:textId="532F24EC"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σ (fit) =</w:t>
            </w:r>
          </w:p>
        </w:tc>
        <w:tc>
          <w:tcPr>
            <w:tcW w:w="2155" w:type="dxa"/>
          </w:tcPr>
          <w:p w14:paraId="3FE73EDB" w14:textId="77777777" w:rsidR="002C4BDC" w:rsidRPr="00D5732D" w:rsidRDefault="002C4BDC" w:rsidP="00CF5CA3">
            <w:pPr>
              <w:autoSpaceDE w:val="0"/>
              <w:autoSpaceDN w:val="0"/>
              <w:adjustRightInd w:val="0"/>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9.14×10</w:t>
            </w:r>
            <w:r w:rsidRPr="00D5732D">
              <w:rPr>
                <w:rFonts w:eastAsiaTheme="minorHAnsi" w:cs="Times New Roman"/>
                <w:kern w:val="0"/>
                <w:sz w:val="20"/>
                <w:szCs w:val="20"/>
                <w:vertAlign w:val="superscript"/>
                <w:lang w:eastAsia="en-US" w:bidi="ar-SA"/>
              </w:rPr>
              <w:t>-4</w:t>
            </w:r>
            <w:r w:rsidRPr="00D5732D">
              <w:rPr>
                <w:rFonts w:eastAsiaTheme="minorHAnsi" w:cs="Times New Roman"/>
                <w:kern w:val="0"/>
                <w:sz w:val="20"/>
                <w:szCs w:val="20"/>
                <w:lang w:eastAsia="en-US" w:bidi="ar-SA"/>
              </w:rPr>
              <w:t xml:space="preserve"> mmol g</w:t>
            </w:r>
            <w:r w:rsidRPr="00D5732D">
              <w:rPr>
                <w:rFonts w:eastAsiaTheme="minorHAnsi" w:cs="Times New Roman"/>
                <w:kern w:val="0"/>
                <w:sz w:val="20"/>
                <w:szCs w:val="20"/>
                <w:vertAlign w:val="superscript"/>
                <w:lang w:eastAsia="en-US" w:bidi="ar-SA"/>
              </w:rPr>
              <w:t>-1</w:t>
            </w:r>
          </w:p>
        </w:tc>
      </w:tr>
      <w:tr w:rsidR="002C4BDC" w14:paraId="5F4577B7" w14:textId="77777777" w:rsidTr="00417B23">
        <w:trPr>
          <w:trHeight w:val="296"/>
        </w:trPr>
        <w:tc>
          <w:tcPr>
            <w:tcW w:w="1870" w:type="dxa"/>
          </w:tcPr>
          <w:p w14:paraId="452C568A" w14:textId="77777777" w:rsidR="002C4BDC" w:rsidRPr="00D5732D" w:rsidRDefault="002C4BDC" w:rsidP="00CF5CA3">
            <w:pPr>
              <w:spacing w:after="160" w:line="259" w:lineRule="auto"/>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 range =</w:t>
            </w:r>
          </w:p>
        </w:tc>
        <w:tc>
          <w:tcPr>
            <w:tcW w:w="1870" w:type="dxa"/>
          </w:tcPr>
          <w:p w14:paraId="5100CC6A" w14:textId="77777777" w:rsidR="002C4BDC" w:rsidRPr="00D5732D" w:rsidRDefault="002C4BDC" w:rsidP="00CF5CA3">
            <w:pPr>
              <w:spacing w:after="160" w:line="259" w:lineRule="auto"/>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0.0030%</w:t>
            </w:r>
          </w:p>
        </w:tc>
        <w:tc>
          <w:tcPr>
            <w:tcW w:w="1475" w:type="dxa"/>
          </w:tcPr>
          <w:p w14:paraId="72DB66D5" w14:textId="77777777" w:rsidR="002C4BDC" w:rsidRPr="00D5732D" w:rsidRDefault="002C4BDC" w:rsidP="00CF5CA3">
            <w:pPr>
              <w:spacing w:after="160" w:line="259" w:lineRule="auto"/>
              <w:rPr>
                <w:rFonts w:eastAsiaTheme="minorHAnsi" w:cs="Times New Roman"/>
                <w:kern w:val="0"/>
                <w:sz w:val="20"/>
                <w:szCs w:val="20"/>
                <w:lang w:eastAsia="en-US" w:bidi="ar-SA"/>
              </w:rPr>
            </w:pPr>
          </w:p>
        </w:tc>
        <w:tc>
          <w:tcPr>
            <w:tcW w:w="1980" w:type="dxa"/>
          </w:tcPr>
          <w:p w14:paraId="26AEE802" w14:textId="1BE9C947" w:rsidR="002C4BDC" w:rsidRPr="00D5732D" w:rsidRDefault="002C4BDC" w:rsidP="00CF5CA3">
            <w:pPr>
              <w:spacing w:after="160" w:line="259" w:lineRule="auto"/>
              <w:rPr>
                <w:rFonts w:eastAsiaTheme="minorHAnsi" w:cs="Times New Roman"/>
                <w:kern w:val="0"/>
                <w:sz w:val="20"/>
                <w:szCs w:val="20"/>
                <w:lang w:eastAsia="en-US" w:bidi="ar-SA"/>
              </w:rPr>
            </w:pPr>
            <w:r w:rsidRPr="00D5732D">
              <w:rPr>
                <w:rFonts w:eastAsiaTheme="minorHAnsi" w:cs="Times New Roman"/>
                <w:kern w:val="0"/>
                <w:sz w:val="20"/>
                <w:szCs w:val="20"/>
                <w:lang w:eastAsia="en-US" w:bidi="ar-SA"/>
              </w:rPr>
              <w:t>% range =</w:t>
            </w:r>
          </w:p>
        </w:tc>
        <w:tc>
          <w:tcPr>
            <w:tcW w:w="2155" w:type="dxa"/>
          </w:tcPr>
          <w:p w14:paraId="1F0764FA" w14:textId="77777777" w:rsidR="002C4BDC" w:rsidRDefault="002C4BDC" w:rsidP="00CF5CA3">
            <w:pPr>
              <w:spacing w:after="160" w:line="259" w:lineRule="auto"/>
              <w:rPr>
                <w:rFonts w:cs="Times New Roman"/>
              </w:rPr>
            </w:pPr>
            <w:r w:rsidRPr="00D5732D">
              <w:rPr>
                <w:rFonts w:eastAsiaTheme="minorHAnsi" w:cs="Times New Roman"/>
                <w:kern w:val="0"/>
                <w:sz w:val="20"/>
                <w:szCs w:val="20"/>
                <w:lang w:eastAsia="en-US" w:bidi="ar-SA"/>
              </w:rPr>
              <w:t>0.036%</w:t>
            </w:r>
          </w:p>
        </w:tc>
      </w:tr>
    </w:tbl>
    <w:p w14:paraId="78BF8EAD" w14:textId="77777777" w:rsidR="007C2934" w:rsidRDefault="00417B23" w:rsidP="00D5732D">
      <w:pPr>
        <w:spacing w:after="160" w:line="259" w:lineRule="auto"/>
        <w:rPr>
          <w:rFonts w:cs="Times New Roman"/>
        </w:rPr>
      </w:pPr>
      <w:r>
        <w:rPr>
          <w:rFonts w:cs="Times New Roman"/>
        </w:rPr>
        <w:t>A criterion normally used</w:t>
      </w:r>
      <w:r w:rsidR="007C2934">
        <w:rPr>
          <w:rFonts w:cs="Times New Roman"/>
        </w:rPr>
        <w:t>, for QM,</w:t>
      </w:r>
      <w:r>
        <w:rPr>
          <w:rFonts w:cs="Times New Roman"/>
        </w:rPr>
        <w:t xml:space="preserve"> is what is the standard deviation as a function of the full range of data.  </w:t>
      </w:r>
      <w:r w:rsidR="00954062">
        <w:rPr>
          <w:rFonts w:cs="Times New Roman"/>
        </w:rPr>
        <w:t>The normal percent full range that is used for the QM fit has been &lt;1%.  Hopefully, the experimental data is good to at least this value.  In this case the fit, even without the heterogeneity o</w:t>
      </w:r>
      <w:r w:rsidR="007C2934">
        <w:rPr>
          <w:rFonts w:cs="Times New Roman"/>
        </w:rPr>
        <w:t>r</w:t>
      </w:r>
      <w:r w:rsidR="00954062">
        <w:rPr>
          <w:rFonts w:cs="Times New Roman"/>
        </w:rPr>
        <w:t xml:space="preserve"> </w:t>
      </w:r>
      <w:r w:rsidR="00954062">
        <w:rPr>
          <w:rFonts w:cs="Times New Roman"/>
          <w:i/>
          <w:iCs/>
        </w:rPr>
        <w:t>P</w:t>
      </w:r>
      <w:r w:rsidR="00954062">
        <w:rPr>
          <w:rFonts w:cs="Times New Roman"/>
          <w:vertAlign w:val="subscript"/>
        </w:rPr>
        <w:t>vap</w:t>
      </w:r>
      <w:r w:rsidR="00954062">
        <w:rPr>
          <w:rFonts w:cs="Times New Roman"/>
        </w:rPr>
        <w:t xml:space="preserve"> correction</w:t>
      </w:r>
      <w:r w:rsidR="007C2934">
        <w:rPr>
          <w:rFonts w:cs="Times New Roman"/>
        </w:rPr>
        <w:t>,</w:t>
      </w:r>
      <w:r w:rsidR="00954062">
        <w:rPr>
          <w:rFonts w:cs="Times New Roman"/>
        </w:rPr>
        <w:t xml:space="preserve"> is excellent</w:t>
      </w:r>
      <w:r w:rsidR="007C2934">
        <w:rPr>
          <w:rFonts w:cs="Times New Roman"/>
        </w:rPr>
        <w:t>.  However,</w:t>
      </w:r>
      <w:r w:rsidR="00954062">
        <w:rPr>
          <w:rFonts w:cs="Times New Roman"/>
        </w:rPr>
        <w:t xml:space="preserve"> using the </w:t>
      </w:r>
      <w:r w:rsidR="00954062">
        <w:rPr>
          <w:rFonts w:cs="Times New Roman"/>
          <w:b/>
          <w:bCs/>
        </w:rPr>
        <w:t>Z</w:t>
      </w:r>
      <w:r w:rsidR="00954062">
        <w:rPr>
          <w:rFonts w:cs="Times New Roman"/>
        </w:rPr>
        <w:t xml:space="preserve"> distribution is better by a factor of 10.  (It is unusual for the BET fit to be &lt; 1% using the</w:t>
      </w:r>
      <w:r w:rsidR="007C2934">
        <w:rPr>
          <w:rFonts w:cs="Times New Roman"/>
        </w:rPr>
        <w:t xml:space="preserve"> high pressure</w:t>
      </w:r>
      <w:r w:rsidR="00954062">
        <w:rPr>
          <w:rFonts w:cs="Times New Roman"/>
        </w:rPr>
        <w:t xml:space="preserve"> Rouquerol criterion and low pressure of 0.05 </w:t>
      </w:r>
      <w:r w:rsidR="00954062">
        <w:rPr>
          <w:rFonts w:cs="Times New Roman"/>
          <w:i/>
          <w:iCs/>
        </w:rPr>
        <w:t>P</w:t>
      </w:r>
      <w:r w:rsidR="00954062">
        <w:rPr>
          <w:rFonts w:cs="Times New Roman"/>
        </w:rPr>
        <w:t>/</w:t>
      </w:r>
      <w:r w:rsidR="00954062">
        <w:rPr>
          <w:rFonts w:cs="Times New Roman"/>
          <w:i/>
          <w:iCs/>
        </w:rPr>
        <w:t>P</w:t>
      </w:r>
      <w:r w:rsidR="00954062">
        <w:rPr>
          <w:rFonts w:cs="Times New Roman"/>
          <w:vertAlign w:val="subscript"/>
        </w:rPr>
        <w:t>vap</w:t>
      </w:r>
      <w:r w:rsidR="00954062">
        <w:rPr>
          <w:rFonts w:cs="Times New Roman"/>
        </w:rPr>
        <w:t>.  Of course, it is far from fitting if one uses pressures below or above these ranges.)</w:t>
      </w:r>
    </w:p>
    <w:p w14:paraId="27ACD0E6" w14:textId="3C8CBE1B" w:rsidR="00B93462" w:rsidRDefault="007C2934" w:rsidP="00D5732D">
      <w:pPr>
        <w:spacing w:after="160" w:line="259" w:lineRule="auto"/>
        <w:rPr>
          <w:rFonts w:cs="Times New Roman"/>
        </w:rPr>
      </w:pPr>
      <w:r>
        <w:rPr>
          <w:rFonts w:cs="Times New Roman"/>
        </w:rPr>
        <w:t>One would think that if there is heterogeneity that the mesopore onset would be affected by this.  The is probably incorrect since the energy of adsorption is a function of χ and not of Δχ.  It had been previously assumed that the distribution for pore size would be dependent upon the heterogeneity, but this could only be correct if there were</w:t>
      </w:r>
      <w:r w:rsidR="00025AF5">
        <w:rPr>
          <w:rFonts w:cs="Times New Roman"/>
        </w:rPr>
        <w:t>, for some reason,</w:t>
      </w:r>
      <w:r>
        <w:rPr>
          <w:rFonts w:cs="Times New Roman"/>
        </w:rPr>
        <w:t xml:space="preserve"> coordination between the two.  If the heterogeneity were distributed evenly, it should not affect the pore dimension calculation</w:t>
      </w:r>
      <w:r w:rsidR="00025AF5">
        <w:rPr>
          <w:rStyle w:val="FootnoteReference"/>
          <w:rFonts w:cs="Times New Roman"/>
        </w:rPr>
        <w:footnoteReference w:id="1"/>
      </w:r>
      <w:r>
        <w:rPr>
          <w:rFonts w:cs="Times New Roman"/>
        </w:rPr>
        <w:t>.</w:t>
      </w:r>
      <w:r w:rsidR="00B93462">
        <w:rPr>
          <w:rFonts w:cs="Times New Roman"/>
        </w:rPr>
        <w:br w:type="page"/>
      </w:r>
    </w:p>
    <w:p w14:paraId="1B7B1257" w14:textId="77777777" w:rsidR="00B93462" w:rsidRPr="00B93462" w:rsidRDefault="00B93462" w:rsidP="008C021B">
      <w:pPr>
        <w:rPr>
          <w:rFonts w:cs="Times New Roman"/>
        </w:rPr>
      </w:pPr>
    </w:p>
    <w:sectPr w:rsidR="00B93462" w:rsidRPr="00B93462">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8BB5" w14:textId="77777777" w:rsidR="005047C2" w:rsidRDefault="005047C2" w:rsidP="00B93462">
      <w:r>
        <w:separator/>
      </w:r>
    </w:p>
  </w:endnote>
  <w:endnote w:type="continuationSeparator" w:id="0">
    <w:p w14:paraId="673F63B3" w14:textId="77777777" w:rsidR="005047C2" w:rsidRDefault="005047C2" w:rsidP="00B93462">
      <w:r>
        <w:continuationSeparator/>
      </w:r>
    </w:p>
  </w:endnote>
  <w:endnote w:id="1">
    <w:p w14:paraId="504E38D8" w14:textId="67F61A6D" w:rsidR="00E64F08" w:rsidRDefault="00E64F08" w:rsidP="00E64F08">
      <w:pPr>
        <w:pStyle w:val="EndnoteText"/>
      </w:pPr>
      <w:r>
        <w:rPr>
          <w:rStyle w:val="EndnoteReference"/>
        </w:rPr>
        <w:endnoteRef/>
      </w:r>
      <w:r>
        <w:t xml:space="preserve"> M. Jaronie</w:t>
      </w:r>
      <w:r w:rsidR="00917F63">
        <w:t>c</w:t>
      </w:r>
      <w:r>
        <w:t xml:space="preserve">, M. Kruk, J.  P.  Olivier, Langmuir </w:t>
      </w:r>
      <w:r w:rsidRPr="00CF5CA3">
        <w:rPr>
          <w:b/>
          <w:bCs/>
        </w:rPr>
        <w:t>15 (1999) 5410-5413.</w:t>
      </w:r>
      <w:r>
        <w:rPr>
          <w:rFonts w:cs="Times New Roman"/>
        </w:rPr>
        <w:t>Krug, Jaroniec and Olivier.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B65" w14:textId="77777777" w:rsidR="005047C2" w:rsidRDefault="005047C2" w:rsidP="00B93462">
      <w:r>
        <w:separator/>
      </w:r>
    </w:p>
  </w:footnote>
  <w:footnote w:type="continuationSeparator" w:id="0">
    <w:p w14:paraId="6489D25F" w14:textId="77777777" w:rsidR="005047C2" w:rsidRDefault="005047C2" w:rsidP="00B93462">
      <w:r>
        <w:continuationSeparator/>
      </w:r>
    </w:p>
  </w:footnote>
  <w:footnote w:id="1">
    <w:p w14:paraId="67D4B4D7" w14:textId="6BB133D0" w:rsidR="00025AF5" w:rsidRDefault="00025AF5">
      <w:pPr>
        <w:pStyle w:val="FootnoteText"/>
      </w:pPr>
      <w:r>
        <w:rPr>
          <w:rStyle w:val="FootnoteReference"/>
        </w:rPr>
        <w:footnoteRef/>
      </w:r>
      <w:r>
        <w:t xml:space="preserve"> Contrary to what is written in the 1</w:t>
      </w:r>
      <w:r w:rsidRPr="00025AF5">
        <w:rPr>
          <w:vertAlign w:val="superscript"/>
        </w:rPr>
        <w:t>st</w:t>
      </w:r>
      <w:r>
        <w:t xml:space="preserve"> and 2</w:t>
      </w:r>
      <w:r w:rsidRPr="00025AF5">
        <w:rPr>
          <w:vertAlign w:val="superscript"/>
        </w:rPr>
        <w:t>nd</w:t>
      </w:r>
      <w:r>
        <w:t xml:space="preserve"> edition of my book.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822"/>
    <w:multiLevelType w:val="hybridMultilevel"/>
    <w:tmpl w:val="D7BE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9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B"/>
    <w:rsid w:val="00014A83"/>
    <w:rsid w:val="00017401"/>
    <w:rsid w:val="00025AF5"/>
    <w:rsid w:val="000A50B1"/>
    <w:rsid w:val="000A5C89"/>
    <w:rsid w:val="000C1718"/>
    <w:rsid w:val="00136483"/>
    <w:rsid w:val="00174FC3"/>
    <w:rsid w:val="001D4172"/>
    <w:rsid w:val="002C4BDC"/>
    <w:rsid w:val="00417B23"/>
    <w:rsid w:val="00430B4A"/>
    <w:rsid w:val="00452DD0"/>
    <w:rsid w:val="0047498A"/>
    <w:rsid w:val="004D1250"/>
    <w:rsid w:val="005003B6"/>
    <w:rsid w:val="005047C2"/>
    <w:rsid w:val="00517D9F"/>
    <w:rsid w:val="00522B3C"/>
    <w:rsid w:val="00664DB7"/>
    <w:rsid w:val="00670F3B"/>
    <w:rsid w:val="00683F10"/>
    <w:rsid w:val="006F0418"/>
    <w:rsid w:val="007232E6"/>
    <w:rsid w:val="00764E14"/>
    <w:rsid w:val="00776A83"/>
    <w:rsid w:val="007C2934"/>
    <w:rsid w:val="007C3D98"/>
    <w:rsid w:val="008C021B"/>
    <w:rsid w:val="008C7753"/>
    <w:rsid w:val="00903208"/>
    <w:rsid w:val="00917F63"/>
    <w:rsid w:val="00954062"/>
    <w:rsid w:val="00A05801"/>
    <w:rsid w:val="00A12D3B"/>
    <w:rsid w:val="00AA7CAF"/>
    <w:rsid w:val="00AF5897"/>
    <w:rsid w:val="00B93462"/>
    <w:rsid w:val="00BE3103"/>
    <w:rsid w:val="00CB7764"/>
    <w:rsid w:val="00CF5CA3"/>
    <w:rsid w:val="00D4273A"/>
    <w:rsid w:val="00D5732D"/>
    <w:rsid w:val="00E62AD6"/>
    <w:rsid w:val="00E64F08"/>
    <w:rsid w:val="00EB4041"/>
    <w:rsid w:val="00F25FE0"/>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3A7"/>
  <w15:chartTrackingRefBased/>
  <w15:docId w15:val="{DB3EC660-DBBF-45EF-B09D-4FB18E36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0418"/>
    <w:pPr>
      <w:spacing w:after="200"/>
    </w:pPr>
    <w:rPr>
      <w:rFonts w:cs="Mangal"/>
      <w:i/>
      <w:iCs/>
      <w:color w:val="44546A" w:themeColor="text2"/>
      <w:sz w:val="18"/>
      <w:szCs w:val="16"/>
    </w:rPr>
  </w:style>
  <w:style w:type="paragraph" w:styleId="EndnoteText">
    <w:name w:val="endnote text"/>
    <w:basedOn w:val="Normal"/>
    <w:link w:val="EndnoteTextChar"/>
    <w:uiPriority w:val="99"/>
    <w:semiHidden/>
    <w:unhideWhenUsed/>
    <w:rsid w:val="00B93462"/>
    <w:rPr>
      <w:rFonts w:cs="Mangal"/>
      <w:sz w:val="20"/>
      <w:szCs w:val="18"/>
    </w:rPr>
  </w:style>
  <w:style w:type="character" w:customStyle="1" w:styleId="EndnoteTextChar">
    <w:name w:val="Endnote Text Char"/>
    <w:basedOn w:val="DefaultParagraphFont"/>
    <w:link w:val="EndnoteText"/>
    <w:uiPriority w:val="99"/>
    <w:semiHidden/>
    <w:rsid w:val="00B93462"/>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B93462"/>
    <w:rPr>
      <w:vertAlign w:val="superscript"/>
    </w:rPr>
  </w:style>
  <w:style w:type="paragraph" w:styleId="ListParagraph">
    <w:name w:val="List Paragraph"/>
    <w:basedOn w:val="Normal"/>
    <w:uiPriority w:val="34"/>
    <w:qFormat/>
    <w:rsid w:val="00CF5CA3"/>
    <w:pPr>
      <w:ind w:left="720"/>
      <w:contextualSpacing/>
    </w:pPr>
    <w:rPr>
      <w:rFonts w:cs="Mangal"/>
      <w:szCs w:val="21"/>
    </w:rPr>
  </w:style>
  <w:style w:type="paragraph" w:styleId="FootnoteText">
    <w:name w:val="footnote text"/>
    <w:basedOn w:val="Normal"/>
    <w:link w:val="FootnoteTextChar"/>
    <w:uiPriority w:val="99"/>
    <w:semiHidden/>
    <w:unhideWhenUsed/>
    <w:rsid w:val="00025AF5"/>
    <w:rPr>
      <w:rFonts w:cs="Mangal"/>
      <w:sz w:val="20"/>
      <w:szCs w:val="18"/>
    </w:rPr>
  </w:style>
  <w:style w:type="character" w:customStyle="1" w:styleId="FootnoteTextChar">
    <w:name w:val="Footnote Text Char"/>
    <w:basedOn w:val="DefaultParagraphFont"/>
    <w:link w:val="FootnoteText"/>
    <w:uiPriority w:val="99"/>
    <w:semiHidden/>
    <w:rsid w:val="00025AF5"/>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025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CC80-5F58-4800-9D48-1CAC0414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3</cp:revision>
  <dcterms:created xsi:type="dcterms:W3CDTF">2023-09-03T21:38:00Z</dcterms:created>
  <dcterms:modified xsi:type="dcterms:W3CDTF">2023-09-18T14:23:00Z</dcterms:modified>
</cp:coreProperties>
</file>