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15A1" w14:textId="7BE53100" w:rsidR="0053346D" w:rsidRDefault="004C558E" w:rsidP="0053346D">
      <w:r>
        <w:rPr>
          <w:b/>
          <w:bCs/>
        </w:rPr>
        <w:t>9</w:t>
      </w:r>
      <w:r w:rsidR="0053346D">
        <w:rPr>
          <w:b/>
          <w:bCs/>
        </w:rPr>
        <w:t>) Adsorption of two adsorptives simultaneously:</w:t>
      </w:r>
    </w:p>
    <w:p w14:paraId="231EA50A" w14:textId="77777777" w:rsidR="0053346D" w:rsidRDefault="0053346D" w:rsidP="0053346D"/>
    <w:p w14:paraId="5C9D0A73" w14:textId="4111BAAA" w:rsidR="0053346D" w:rsidRDefault="0053346D" w:rsidP="0053346D">
      <w:r>
        <w:t xml:space="preserve">It is difficult to find appropriate literature on binary adsorption that is useful </w:t>
      </w:r>
      <w:r w:rsidR="000D7AB3">
        <w:t xml:space="preserve">in order </w:t>
      </w:r>
      <w:r w:rsidR="00801E5F">
        <w:t>to make</w:t>
      </w:r>
      <w:r>
        <w:t xml:space="preserve"> calculation</w:t>
      </w:r>
      <w:r w:rsidR="00801E5F">
        <w:t>s</w:t>
      </w:r>
      <w:r>
        <w:t xml:space="preserve"> </w:t>
      </w:r>
      <w:r w:rsidR="00801E5F">
        <w:t xml:space="preserve">with </w:t>
      </w:r>
      <w:r>
        <w:t xml:space="preserve">the QM/ESW hypotheses.  The approach to this is simple, but the mathematics could become tedious.  It seems obvious, that if two adsorbates have about the same </w:t>
      </w:r>
      <w:r>
        <w:rPr>
          <w:i/>
          <w:iCs/>
        </w:rPr>
        <w:t>E</w:t>
      </w:r>
      <w:r>
        <w:rPr>
          <w:vertAlign w:val="subscript"/>
        </w:rPr>
        <w:t>a</w:t>
      </w:r>
      <w:r>
        <w:t>, that the mixture is likely to behave like a single adsorbate, except for some modification to the “layers” above the 1</w:t>
      </w:r>
      <w:r w:rsidRPr="0053346D">
        <w:rPr>
          <w:vertAlign w:val="superscript"/>
        </w:rPr>
        <w:t>st</w:t>
      </w:r>
      <w:r>
        <w:t xml:space="preserve"> “layer.”  In which case the additional “layers” should approximat</w:t>
      </w:r>
      <w:r w:rsidR="00801E5F">
        <w:t>e</w:t>
      </w:r>
      <w:r>
        <w:t xml:space="preserve"> the behavior of the bulk liquid adsorptive. </w:t>
      </w:r>
    </w:p>
    <w:p w14:paraId="69D0BF19" w14:textId="77777777" w:rsidR="0053346D" w:rsidRDefault="0053346D" w:rsidP="0053346D"/>
    <w:p w14:paraId="12B6716E" w14:textId="3D2E46D4" w:rsidR="00D36B39" w:rsidRDefault="0053346D" w:rsidP="0053346D">
      <w:r>
        <w:t xml:space="preserve">On the other hand, if there is a big difference between the two </w:t>
      </w:r>
      <w:r>
        <w:rPr>
          <w:i/>
          <w:iCs/>
        </w:rPr>
        <w:t>E</w:t>
      </w:r>
      <w:r>
        <w:rPr>
          <w:vertAlign w:val="subscript"/>
        </w:rPr>
        <w:t>a</w:t>
      </w:r>
      <w:r w:rsidR="004E216B" w:rsidRPr="004E216B">
        <w:t>/</w:t>
      </w:r>
      <w:r w:rsidR="004E216B">
        <w:rPr>
          <w:i/>
          <w:iCs/>
        </w:rPr>
        <w:t>RT</w:t>
      </w:r>
      <w:r>
        <w:t xml:space="preserve">s, the one that has the most exothermic </w:t>
      </w:r>
      <w:r w:rsidR="004039D2">
        <w:rPr>
          <w:i/>
          <w:iCs/>
        </w:rPr>
        <w:t>E</w:t>
      </w:r>
      <w:r w:rsidR="004039D2">
        <w:rPr>
          <w:vertAlign w:val="subscript"/>
        </w:rPr>
        <w:t>a</w:t>
      </w:r>
      <w:r w:rsidR="004039D2" w:rsidRPr="004E216B">
        <w:t>/</w:t>
      </w:r>
      <w:r w:rsidR="004039D2">
        <w:rPr>
          <w:i/>
          <w:iCs/>
        </w:rPr>
        <w:t>RT</w:t>
      </w:r>
      <w:r>
        <w:t xml:space="preserve"> (call it </w:t>
      </w:r>
      <w:r w:rsidR="00801E5F">
        <w:t>“A”)</w:t>
      </w:r>
      <w:r>
        <w:t xml:space="preserve"> will fill most of the first “layer” before the </w:t>
      </w:r>
      <w:r w:rsidR="00CF0FE7">
        <w:t xml:space="preserve">least exothermic </w:t>
      </w:r>
      <w:r>
        <w:t>one (</w:t>
      </w:r>
      <w:r w:rsidR="00801E5F">
        <w:t>designated “B”</w:t>
      </w:r>
      <w:r>
        <w:t>) has an opportunity.  Thus, the</w:t>
      </w:r>
      <w:r w:rsidR="00801E5F">
        <w:t xml:space="preserve"> B</w:t>
      </w:r>
      <w:r w:rsidR="00D36B39">
        <w:t xml:space="preserve"> will have little influence on the adsorption of </w:t>
      </w:r>
      <w:r w:rsidR="00801E5F">
        <w:t>A</w:t>
      </w:r>
      <w:r w:rsidR="00D36B39">
        <w:t xml:space="preserve"> in the first “layer</w:t>
      </w:r>
      <w:r w:rsidR="00801E5F">
        <w:t>.</w:t>
      </w:r>
      <w:r w:rsidR="00D36B39">
        <w:t xml:space="preserve">” </w:t>
      </w:r>
      <w:r w:rsidR="00801E5F">
        <w:t xml:space="preserve"> In subsequent “layers” the ratio of A to B would approach the bulk liquid composition.  There </w:t>
      </w:r>
      <w:r w:rsidR="00CF0FE7">
        <w:t>is probably</w:t>
      </w:r>
      <w:r w:rsidR="00801E5F">
        <w:t xml:space="preserve"> an exponential decay going into the liquid in a similar fashion as the Debye-</w:t>
      </w:r>
      <w:proofErr w:type="spellStart"/>
      <w:r w:rsidR="00801E5F">
        <w:t>H</w:t>
      </w:r>
      <w:r w:rsidR="00801E5F">
        <w:rPr>
          <w:rFonts w:cs="Times New Roman"/>
        </w:rPr>
        <w:t>ü</w:t>
      </w:r>
      <w:r w:rsidR="00801E5F">
        <w:t>ckel</w:t>
      </w:r>
      <w:proofErr w:type="spellEnd"/>
      <w:r w:rsidR="00D36B39">
        <w:t xml:space="preserve"> </w:t>
      </w:r>
      <w:r w:rsidR="00801E5F">
        <w:t xml:space="preserve">theory. </w:t>
      </w:r>
      <w:r w:rsidR="00D36B39">
        <w:t xml:space="preserve"> </w:t>
      </w:r>
      <w:r w:rsidR="00CF0FE7">
        <w:t xml:space="preserve">This has been demonstrated in other systems using </w:t>
      </w:r>
      <w:proofErr w:type="spellStart"/>
      <w:r w:rsidR="00CF0FE7">
        <w:t>Darken’</w:t>
      </w:r>
      <w:r w:rsidR="004E216B">
        <w:t>s</w:t>
      </w:r>
      <w:proofErr w:type="spellEnd"/>
      <w:r w:rsidR="00CF0FE7">
        <w:t xml:space="preserve"> equations and Poisson’s equation to obtain equilibrium</w:t>
      </w:r>
      <w:r w:rsidR="00C077E5">
        <w:rPr>
          <w:rStyle w:val="EndnoteReference"/>
        </w:rPr>
        <w:endnoteReference w:id="1"/>
      </w:r>
      <w:r w:rsidR="00CF0FE7">
        <w:t xml:space="preserve">. </w:t>
      </w:r>
      <w:r w:rsidR="00864D1D">
        <w:t xml:space="preserve"> </w:t>
      </w:r>
      <w:r w:rsidR="00D36B39">
        <w:t>If there are mesopores, then this is also true after the pore filling has occurred.</w:t>
      </w:r>
    </w:p>
    <w:p w14:paraId="11F12E3F" w14:textId="6DFC1A4E" w:rsidR="00D36B39" w:rsidRDefault="00D36B39" w:rsidP="0053346D"/>
    <w:p w14:paraId="566AF60F" w14:textId="02D6C8F4" w:rsidR="00C077E5" w:rsidRDefault="00D36B39" w:rsidP="0053346D">
      <w:r>
        <w:t>Thus, one should be able to calculate the binary adsorption curve given only the isotherms of the two adsorbates and the adsorptive binary phase diagrams</w:t>
      </w:r>
      <w:r w:rsidR="004039D2">
        <w:t>, which are probably available</w:t>
      </w:r>
      <w:r>
        <w:t xml:space="preserve">.  </w:t>
      </w:r>
      <w:r w:rsidR="004039D2">
        <w:t xml:space="preserve">(If the adsorptive binary phase diagrams are not available, many binary mixtures can be approximated with a regular solution calculation.)  </w:t>
      </w:r>
      <w:r>
        <w:t>This would save considerable effort and should be quite useful at least for screening studies.</w:t>
      </w:r>
      <w:r w:rsidR="004039D2">
        <w:t xml:space="preserve">  This could save considerable effort in screening studies.  For </w:t>
      </w:r>
      <w:r w:rsidR="004039D2">
        <w:rPr>
          <w:i/>
          <w:iCs/>
        </w:rPr>
        <w:t>X</w:t>
      </w:r>
      <w:r w:rsidR="004039D2">
        <w:t xml:space="preserve"> adsorbates and </w:t>
      </w:r>
      <w:r w:rsidR="004039D2">
        <w:rPr>
          <w:i/>
          <w:iCs/>
        </w:rPr>
        <w:t>P</w:t>
      </w:r>
      <w:r w:rsidR="004039D2">
        <w:t xml:space="preserve"> pressures, the number of experiments that need not be run is (1-</w:t>
      </w:r>
      <w:proofErr w:type="gramStart"/>
      <w:r w:rsidR="004039D2">
        <w:rPr>
          <w:i/>
          <w:iCs/>
        </w:rPr>
        <w:t>X</w:t>
      </w:r>
      <w:r w:rsidR="004039D2">
        <w:t>)</w:t>
      </w:r>
      <w:r w:rsidR="004039D2">
        <w:rPr>
          <w:i/>
          <w:iCs/>
        </w:rPr>
        <w:t>XP</w:t>
      </w:r>
      <w:proofErr w:type="gramEnd"/>
      <w:r w:rsidR="004039D2">
        <w:t xml:space="preserve"> which could be considerable</w:t>
      </w:r>
    </w:p>
    <w:p w14:paraId="5079AB26" w14:textId="77777777" w:rsidR="004039D2" w:rsidRDefault="004039D2" w:rsidP="0053346D"/>
    <w:p w14:paraId="0136C167" w14:textId="4B9FD6B3" w:rsidR="00776A7F" w:rsidRDefault="004E216B" w:rsidP="0053346D">
      <w:r>
        <w:t xml:space="preserve">In </w:t>
      </w:r>
      <w:r w:rsidR="004039D2" w:rsidRPr="004039D2">
        <w:rPr>
          <w:b/>
          <w:bCs/>
        </w:rPr>
        <w:t>T</w:t>
      </w:r>
      <w:r w:rsidRPr="004039D2">
        <w:rPr>
          <w:b/>
          <w:bCs/>
        </w:rPr>
        <w:t>able 1</w:t>
      </w:r>
      <w:r w:rsidR="00D36B39">
        <w:t xml:space="preserve"> </w:t>
      </w:r>
      <w:r>
        <w:t xml:space="preserve">is </w:t>
      </w:r>
      <w:r w:rsidR="00D36B39">
        <w:t xml:space="preserve">a procedure to take advantage of binary mixture where the </w:t>
      </w:r>
      <w:r w:rsidR="00D36B39">
        <w:rPr>
          <w:i/>
          <w:iCs/>
        </w:rPr>
        <w:t>E</w:t>
      </w:r>
      <w:r w:rsidR="00D36B39">
        <w:rPr>
          <w:vertAlign w:val="subscript"/>
        </w:rPr>
        <w:t>a</w:t>
      </w:r>
      <w:r>
        <w:t>/</w:t>
      </w:r>
      <w:r>
        <w:rPr>
          <w:i/>
          <w:iCs/>
        </w:rPr>
        <w:t>RT</w:t>
      </w:r>
      <w:r w:rsidR="00D36B39">
        <w:t>s are different enough.</w:t>
      </w:r>
      <w:r w:rsidR="00505480">
        <w:t xml:space="preserve">  Notice that only the χ-values associated with the lowest value of χ, listed as the “A” adsorbate, is used for plotting.</w:t>
      </w:r>
    </w:p>
    <w:p w14:paraId="7F44ACEC" w14:textId="77777777" w:rsidR="00AA750E" w:rsidRDefault="00AA750E" w:rsidP="0053346D"/>
    <w:tbl>
      <w:tblPr>
        <w:tblStyle w:val="TableGrid"/>
        <w:tblW w:w="0" w:type="auto"/>
        <w:tblLook w:val="04A0" w:firstRow="1" w:lastRow="0" w:firstColumn="1" w:lastColumn="0" w:noHBand="0" w:noVBand="1"/>
      </w:tblPr>
      <w:tblGrid>
        <w:gridCol w:w="535"/>
        <w:gridCol w:w="4407"/>
        <w:gridCol w:w="4408"/>
      </w:tblGrid>
      <w:tr w:rsidR="0087693B" w14:paraId="2BB55C76" w14:textId="77777777" w:rsidTr="007E7170">
        <w:tc>
          <w:tcPr>
            <w:tcW w:w="9350" w:type="dxa"/>
            <w:gridSpan w:val="3"/>
          </w:tcPr>
          <w:p w14:paraId="10B5DB93" w14:textId="4DB577AF" w:rsidR="0087693B" w:rsidRPr="0087693B" w:rsidRDefault="0087693B" w:rsidP="00680526">
            <w:pPr>
              <w:autoSpaceDE w:val="0"/>
              <w:autoSpaceDN w:val="0"/>
              <w:adjustRightInd w:val="0"/>
              <w:rPr>
                <w:rFonts w:eastAsiaTheme="minorHAnsi" w:cs="Times New Roman"/>
                <w:kern w:val="0"/>
                <w:lang w:eastAsia="en-US" w:bidi="ar-SA"/>
              </w:rPr>
            </w:pPr>
            <w:r>
              <w:rPr>
                <w:rFonts w:eastAsiaTheme="minorHAnsi" w:cs="Times New Roman"/>
                <w:b/>
                <w:bCs/>
                <w:kern w:val="0"/>
                <w:lang w:eastAsia="en-US" w:bidi="ar-SA"/>
              </w:rPr>
              <w:t>Table 1:</w:t>
            </w:r>
            <w:r>
              <w:rPr>
                <w:rFonts w:eastAsiaTheme="minorHAnsi" w:cs="Times New Roman"/>
                <w:kern w:val="0"/>
                <w:lang w:eastAsia="en-US" w:bidi="ar-SA"/>
              </w:rPr>
              <w:t xml:space="preserve">  Steps to calculate the binary diagrams when χ</w:t>
            </w:r>
            <w:r>
              <w:rPr>
                <w:rFonts w:eastAsiaTheme="minorHAnsi" w:cs="Times New Roman"/>
                <w:kern w:val="0"/>
                <w:vertAlign w:val="subscript"/>
                <w:lang w:eastAsia="en-US" w:bidi="ar-SA"/>
              </w:rPr>
              <w:t>ς</w:t>
            </w:r>
            <w:r>
              <w:rPr>
                <w:rFonts w:eastAsiaTheme="minorHAnsi" w:cs="Times New Roman"/>
                <w:kern w:val="0"/>
                <w:lang w:eastAsia="en-US" w:bidi="ar-SA"/>
              </w:rPr>
              <w:t>(A) &lt;&lt; χ</w:t>
            </w:r>
            <w:r>
              <w:rPr>
                <w:rFonts w:eastAsiaTheme="minorHAnsi" w:cs="Times New Roman"/>
                <w:kern w:val="0"/>
                <w:vertAlign w:val="subscript"/>
                <w:lang w:eastAsia="en-US" w:bidi="ar-SA"/>
              </w:rPr>
              <w:t>ς</w:t>
            </w:r>
            <w:r>
              <w:rPr>
                <w:rFonts w:eastAsiaTheme="minorHAnsi" w:cs="Times New Roman"/>
                <w:kern w:val="0"/>
                <w:lang w:eastAsia="en-US" w:bidi="ar-SA"/>
              </w:rPr>
              <w:t xml:space="preserve">(B)  </w:t>
            </w:r>
          </w:p>
        </w:tc>
      </w:tr>
      <w:tr w:rsidR="00AA750E" w14:paraId="0CF35448" w14:textId="77777777" w:rsidTr="00AA750E">
        <w:tc>
          <w:tcPr>
            <w:tcW w:w="535" w:type="dxa"/>
          </w:tcPr>
          <w:p w14:paraId="0FE2BE74" w14:textId="1A390EB8" w:rsidR="00AA750E" w:rsidRDefault="00AA750E" w:rsidP="0053346D">
            <w:pPr>
              <w:rPr>
                <w:rFonts w:cs="Times New Roman"/>
              </w:rPr>
            </w:pPr>
            <w:r>
              <w:rPr>
                <w:rFonts w:cs="Times New Roman"/>
              </w:rPr>
              <w:t>1)</w:t>
            </w:r>
          </w:p>
        </w:tc>
        <w:tc>
          <w:tcPr>
            <w:tcW w:w="8815" w:type="dxa"/>
            <w:gridSpan w:val="2"/>
          </w:tcPr>
          <w:p w14:paraId="08B11806" w14:textId="234FF4C7" w:rsidR="00AA750E" w:rsidRPr="00680526" w:rsidRDefault="00AA750E" w:rsidP="00680526">
            <w:pPr>
              <w:autoSpaceDE w:val="0"/>
              <w:autoSpaceDN w:val="0"/>
              <w:adjustRightInd w:val="0"/>
              <w:rPr>
                <w:rFonts w:eastAsiaTheme="minorHAnsi" w:cs="Times New Roman"/>
                <w:kern w:val="0"/>
                <w:lang w:eastAsia="en-US" w:bidi="ar-SA"/>
              </w:rPr>
            </w:pPr>
            <w:r>
              <w:rPr>
                <w:rFonts w:eastAsiaTheme="minorHAnsi" w:cs="Times New Roman"/>
                <w:kern w:val="0"/>
                <w:lang w:eastAsia="en-US" w:bidi="ar-SA"/>
              </w:rPr>
              <w:t>Do the χ-plot for both adsorbates</w:t>
            </w:r>
          </w:p>
        </w:tc>
      </w:tr>
      <w:tr w:rsidR="00680526" w14:paraId="059589BF" w14:textId="77777777" w:rsidTr="00AA750E">
        <w:tc>
          <w:tcPr>
            <w:tcW w:w="535" w:type="dxa"/>
          </w:tcPr>
          <w:p w14:paraId="5D263CF7" w14:textId="1C433BD3" w:rsidR="00680526" w:rsidRDefault="00AA750E" w:rsidP="0053346D">
            <w:pPr>
              <w:rPr>
                <w:rFonts w:cs="Times New Roman"/>
              </w:rPr>
            </w:pPr>
            <w:r>
              <w:rPr>
                <w:rFonts w:cs="Times New Roman"/>
              </w:rPr>
              <w:t>2)</w:t>
            </w:r>
          </w:p>
        </w:tc>
        <w:tc>
          <w:tcPr>
            <w:tcW w:w="8815" w:type="dxa"/>
            <w:gridSpan w:val="2"/>
          </w:tcPr>
          <w:p w14:paraId="1EFDB1AA" w14:textId="4EA20039" w:rsidR="00680526" w:rsidRPr="00680526" w:rsidRDefault="00680526" w:rsidP="00680526">
            <w:pPr>
              <w:autoSpaceDE w:val="0"/>
              <w:autoSpaceDN w:val="0"/>
              <w:adjustRightInd w:val="0"/>
              <w:rPr>
                <w:rFonts w:eastAsiaTheme="minorHAnsi" w:cs="Times New Roman"/>
                <w:kern w:val="0"/>
                <w:lang w:eastAsia="en-US" w:bidi="ar-SA"/>
              </w:rPr>
            </w:pPr>
            <w:r w:rsidRPr="00680526">
              <w:rPr>
                <w:rFonts w:eastAsiaTheme="minorHAnsi" w:cs="Times New Roman"/>
                <w:kern w:val="0"/>
                <w:lang w:eastAsia="en-US" w:bidi="ar-SA"/>
              </w:rPr>
              <w:t>Determine what total pressure you wish to have the phase diagram for.  (</w:t>
            </w:r>
            <w:proofErr w:type="gramStart"/>
            <w:r w:rsidRPr="00680526">
              <w:rPr>
                <w:rFonts w:eastAsiaTheme="minorHAnsi" w:cs="Times New Roman"/>
                <w:kern w:val="0"/>
                <w:lang w:eastAsia="en-US" w:bidi="ar-SA"/>
              </w:rPr>
              <w:t>call</w:t>
            </w:r>
            <w:proofErr w:type="gramEnd"/>
            <w:r w:rsidRPr="00680526">
              <w:rPr>
                <w:rFonts w:eastAsiaTheme="minorHAnsi" w:cs="Times New Roman"/>
                <w:kern w:val="0"/>
                <w:lang w:eastAsia="en-US" w:bidi="ar-SA"/>
              </w:rPr>
              <w:t xml:space="preserve"> this </w:t>
            </w:r>
            <w:r w:rsidRPr="00680526">
              <w:rPr>
                <w:rFonts w:eastAsiaTheme="minorHAnsi" w:cs="Times New Roman"/>
                <w:i/>
                <w:iCs/>
                <w:kern w:val="0"/>
                <w:lang w:eastAsia="en-US" w:bidi="ar-SA"/>
              </w:rPr>
              <w:t>p</w:t>
            </w:r>
            <w:r w:rsidR="00505480">
              <w:rPr>
                <w:rFonts w:eastAsiaTheme="minorHAnsi" w:cs="Times New Roman"/>
                <w:kern w:val="0"/>
                <w:lang w:eastAsia="en-US" w:bidi="ar-SA"/>
              </w:rPr>
              <w:t>'</w:t>
            </w:r>
            <w:r w:rsidRPr="00680526">
              <w:rPr>
                <w:rFonts w:eastAsiaTheme="minorHAnsi" w:cs="Times New Roman"/>
                <w:kern w:val="0"/>
                <w:lang w:eastAsia="en-US" w:bidi="ar-SA"/>
              </w:rPr>
              <w:t>.)</w:t>
            </w:r>
          </w:p>
        </w:tc>
      </w:tr>
      <w:tr w:rsidR="00680526" w14:paraId="73C058BE" w14:textId="77777777" w:rsidTr="00AA750E">
        <w:tc>
          <w:tcPr>
            <w:tcW w:w="535" w:type="dxa"/>
          </w:tcPr>
          <w:p w14:paraId="54D226B3" w14:textId="68874B73" w:rsidR="00680526" w:rsidRDefault="00AA750E" w:rsidP="0053346D">
            <w:pPr>
              <w:rPr>
                <w:rFonts w:cs="Times New Roman"/>
              </w:rPr>
            </w:pPr>
            <w:r>
              <w:rPr>
                <w:rFonts w:cs="Times New Roman"/>
              </w:rPr>
              <w:t>3)</w:t>
            </w:r>
          </w:p>
        </w:tc>
        <w:tc>
          <w:tcPr>
            <w:tcW w:w="8815" w:type="dxa"/>
            <w:gridSpan w:val="2"/>
          </w:tcPr>
          <w:p w14:paraId="1D23715A" w14:textId="2D765B5E" w:rsidR="00680526" w:rsidRDefault="00680526" w:rsidP="0053346D">
            <w:pPr>
              <w:rPr>
                <w:rFonts w:cs="Times New Roman"/>
              </w:rPr>
            </w:pPr>
            <w:r w:rsidRPr="00680526">
              <w:rPr>
                <w:rFonts w:eastAsiaTheme="minorHAnsi" w:cs="Times New Roman"/>
                <w:kern w:val="0"/>
                <w:lang w:eastAsia="en-US" w:bidi="ar-SA"/>
              </w:rPr>
              <w:t xml:space="preserve">From the </w:t>
            </w:r>
            <w:r>
              <w:rPr>
                <w:rFonts w:eastAsiaTheme="minorHAnsi" w:cs="Times New Roman"/>
                <w:kern w:val="0"/>
                <w:lang w:eastAsia="en-US" w:bidi="ar-SA"/>
              </w:rPr>
              <w:t>χ</w:t>
            </w:r>
            <w:r w:rsidRPr="00680526">
              <w:rPr>
                <w:rFonts w:eastAsiaTheme="minorHAnsi" w:cs="Times New Roman"/>
                <w:kern w:val="0"/>
                <w:lang w:eastAsia="en-US" w:bidi="ar-SA"/>
              </w:rPr>
              <w:t xml:space="preserve">-plots, determine which adsorbate has the lowest value for </w:t>
            </w:r>
            <w:r>
              <w:rPr>
                <w:rFonts w:eastAsiaTheme="minorHAnsi" w:cs="Times New Roman"/>
                <w:kern w:val="0"/>
                <w:lang w:eastAsia="en-US" w:bidi="ar-SA"/>
              </w:rPr>
              <w:t>χ</w:t>
            </w:r>
            <w:r w:rsidR="00082375" w:rsidRPr="00082375">
              <w:rPr>
                <w:rFonts w:eastAsiaTheme="minorHAnsi" w:cs="Times New Roman"/>
                <w:kern w:val="0"/>
                <w:vertAlign w:val="subscript"/>
                <w:lang w:eastAsia="en-US" w:bidi="ar-SA"/>
              </w:rPr>
              <w:t>ς</w:t>
            </w:r>
            <w:r w:rsidRPr="00680526">
              <w:rPr>
                <w:rFonts w:eastAsiaTheme="minorHAnsi" w:cs="Times New Roman"/>
                <w:kern w:val="0"/>
                <w:lang w:eastAsia="en-US" w:bidi="ar-SA"/>
              </w:rPr>
              <w:t xml:space="preserve">.  It may be difficult to do this, so try determining the value of </w:t>
            </w:r>
            <w:r w:rsidR="00082375">
              <w:rPr>
                <w:rFonts w:eastAsiaTheme="minorHAnsi" w:cs="Times New Roman"/>
                <w:kern w:val="0"/>
                <w:lang w:eastAsia="en-US" w:bidi="ar-SA"/>
              </w:rPr>
              <w:t>χ</w:t>
            </w:r>
            <w:r w:rsidR="00082375" w:rsidRPr="00082375">
              <w:rPr>
                <w:rFonts w:eastAsiaTheme="minorHAnsi" w:cs="Times New Roman"/>
                <w:kern w:val="0"/>
                <w:vertAlign w:val="subscript"/>
                <w:lang w:eastAsia="en-US" w:bidi="ar-SA"/>
              </w:rPr>
              <w:t>ς</w:t>
            </w:r>
            <w:r w:rsidRPr="00680526">
              <w:rPr>
                <w:rFonts w:eastAsiaTheme="minorHAnsi" w:cs="Times New Roman"/>
                <w:kern w:val="0"/>
                <w:lang w:eastAsia="en-US" w:bidi="ar-SA"/>
              </w:rPr>
              <w:t xml:space="preserve"> from the log-law plot.  (</w:t>
            </w:r>
            <w:r w:rsidR="00505480">
              <w:rPr>
                <w:rFonts w:eastAsiaTheme="minorHAnsi" w:cs="Times New Roman"/>
                <w:kern w:val="0"/>
                <w:lang w:eastAsia="en-US" w:bidi="ar-SA"/>
              </w:rPr>
              <w:t>This adsorbate with the lowest χ</w:t>
            </w:r>
            <w:r w:rsidR="00505480">
              <w:rPr>
                <w:rFonts w:eastAsiaTheme="minorHAnsi" w:cs="Times New Roman"/>
                <w:kern w:val="0"/>
                <w:vertAlign w:val="subscript"/>
                <w:lang w:eastAsia="en-US" w:bidi="ar-SA"/>
              </w:rPr>
              <w:t>ς</w:t>
            </w:r>
            <w:r w:rsidR="00505480">
              <w:rPr>
                <w:rFonts w:eastAsiaTheme="minorHAnsi" w:cs="Times New Roman"/>
                <w:kern w:val="0"/>
                <w:lang w:eastAsia="en-US" w:bidi="ar-SA"/>
              </w:rPr>
              <w:t xml:space="preserve"> i</w:t>
            </w:r>
            <w:r w:rsidR="00AA750E">
              <w:rPr>
                <w:rFonts w:eastAsiaTheme="minorHAnsi" w:cs="Times New Roman"/>
                <w:kern w:val="0"/>
                <w:lang w:eastAsia="en-US" w:bidi="ar-SA"/>
              </w:rPr>
              <w:t xml:space="preserve">s </w:t>
            </w:r>
            <w:r w:rsidRPr="00680526">
              <w:rPr>
                <w:rFonts w:eastAsiaTheme="minorHAnsi" w:cs="Times New Roman"/>
                <w:kern w:val="0"/>
                <w:lang w:eastAsia="en-US" w:bidi="ar-SA"/>
              </w:rPr>
              <w:t>adsorbate “A</w:t>
            </w:r>
            <w:r w:rsidR="00505480">
              <w:rPr>
                <w:rFonts w:eastAsiaTheme="minorHAnsi" w:cs="Times New Roman"/>
                <w:kern w:val="0"/>
                <w:lang w:eastAsia="en-US" w:bidi="ar-SA"/>
              </w:rPr>
              <w:t>,</w:t>
            </w:r>
            <w:r w:rsidR="00D85B2C">
              <w:rPr>
                <w:rFonts w:eastAsiaTheme="minorHAnsi" w:cs="Times New Roman"/>
                <w:kern w:val="0"/>
                <w:lang w:eastAsia="en-US" w:bidi="ar-SA"/>
              </w:rPr>
              <w:t>”</w:t>
            </w:r>
            <w:r w:rsidR="00505480">
              <w:rPr>
                <w:rFonts w:eastAsiaTheme="minorHAnsi" w:cs="Times New Roman"/>
                <w:kern w:val="0"/>
                <w:lang w:eastAsia="en-US" w:bidi="ar-SA"/>
              </w:rPr>
              <w:t xml:space="preserve"> labelled </w:t>
            </w:r>
            <w:r w:rsidR="00D85B2C">
              <w:rPr>
                <w:rFonts w:eastAsiaTheme="minorHAnsi" w:cs="Times New Roman"/>
                <w:kern w:val="0"/>
                <w:lang w:eastAsia="en-US" w:bidi="ar-SA"/>
              </w:rPr>
              <w:t>“</w:t>
            </w:r>
            <w:r w:rsidR="00505480">
              <w:rPr>
                <w:rFonts w:eastAsiaTheme="minorHAnsi" w:cs="Times New Roman"/>
                <w:kern w:val="0"/>
                <w:lang w:eastAsia="en-US" w:bidi="ar-SA"/>
              </w:rPr>
              <w:t>χ</w:t>
            </w:r>
            <w:r w:rsidR="00505480">
              <w:rPr>
                <w:rFonts w:eastAsiaTheme="minorHAnsi" w:cs="Times New Roman"/>
                <w:kern w:val="0"/>
                <w:vertAlign w:val="subscript"/>
                <w:lang w:eastAsia="en-US" w:bidi="ar-SA"/>
              </w:rPr>
              <w:t>ς</w:t>
            </w:r>
            <w:r w:rsidR="00505480">
              <w:rPr>
                <w:rFonts w:eastAsiaTheme="minorHAnsi" w:cs="Times New Roman"/>
                <w:kern w:val="0"/>
                <w:lang w:eastAsia="en-US" w:bidi="ar-SA"/>
              </w:rPr>
              <w:t>(A)</w:t>
            </w:r>
            <w:r w:rsidRPr="00680526">
              <w:rPr>
                <w:rFonts w:eastAsiaTheme="minorHAnsi" w:cs="Times New Roman"/>
                <w:kern w:val="0"/>
                <w:lang w:eastAsia="en-US" w:bidi="ar-SA"/>
              </w:rPr>
              <w:t>”)</w:t>
            </w:r>
          </w:p>
        </w:tc>
      </w:tr>
      <w:tr w:rsidR="00680526" w14:paraId="01B5D7D3" w14:textId="77777777" w:rsidTr="00AA750E">
        <w:tc>
          <w:tcPr>
            <w:tcW w:w="535" w:type="dxa"/>
          </w:tcPr>
          <w:p w14:paraId="35196311" w14:textId="57EB2A7F" w:rsidR="00680526" w:rsidRDefault="00AA750E" w:rsidP="0053346D">
            <w:pPr>
              <w:rPr>
                <w:rFonts w:cs="Times New Roman"/>
              </w:rPr>
            </w:pPr>
            <w:r>
              <w:rPr>
                <w:rFonts w:cs="Times New Roman"/>
              </w:rPr>
              <w:t>4)</w:t>
            </w:r>
          </w:p>
        </w:tc>
        <w:tc>
          <w:tcPr>
            <w:tcW w:w="8815" w:type="dxa"/>
            <w:gridSpan w:val="2"/>
          </w:tcPr>
          <w:p w14:paraId="29FA4856" w14:textId="18A84450" w:rsidR="00680526" w:rsidRDefault="00082375" w:rsidP="0053346D">
            <w:pPr>
              <w:rPr>
                <w:rFonts w:cs="Times New Roman"/>
              </w:rPr>
            </w:pPr>
            <w:r w:rsidRPr="00680526">
              <w:rPr>
                <w:rFonts w:eastAsiaTheme="minorHAnsi" w:cs="Times New Roman"/>
                <w:kern w:val="0"/>
                <w:lang w:eastAsia="en-US" w:bidi="ar-SA"/>
              </w:rPr>
              <w:t xml:space="preserve">Determine the value of </w:t>
            </w:r>
            <w:r w:rsidRPr="00680526">
              <w:rPr>
                <w:rFonts w:eastAsiaTheme="minorHAnsi" w:cs="Times New Roman"/>
                <w:i/>
                <w:iCs/>
                <w:kern w:val="0"/>
                <w:lang w:eastAsia="en-US" w:bidi="ar-SA"/>
              </w:rPr>
              <w:t>n</w:t>
            </w:r>
            <w:r w:rsidRPr="00680526">
              <w:rPr>
                <w:rFonts w:eastAsiaTheme="minorHAnsi" w:cs="Times New Roman"/>
                <w:kern w:val="0"/>
                <w:vertAlign w:val="subscript"/>
                <w:lang w:eastAsia="en-US" w:bidi="ar-SA"/>
              </w:rPr>
              <w:t>ads</w:t>
            </w:r>
            <w:r w:rsidRPr="00680526">
              <w:rPr>
                <w:rFonts w:eastAsiaTheme="minorHAnsi" w:cs="Times New Roman"/>
                <w:kern w:val="0"/>
                <w:lang w:eastAsia="en-US" w:bidi="ar-SA"/>
              </w:rPr>
              <w:t xml:space="preserve"> from both isotherms of the adsorbates</w:t>
            </w:r>
            <w:r w:rsidR="00505480">
              <w:rPr>
                <w:rFonts w:eastAsiaTheme="minorHAnsi" w:cs="Times New Roman"/>
                <w:kern w:val="0"/>
                <w:lang w:eastAsia="en-US" w:bidi="ar-SA"/>
              </w:rPr>
              <w:t xml:space="preserve"> at pressure </w:t>
            </w:r>
            <w:r w:rsidR="00505480">
              <w:rPr>
                <w:rFonts w:eastAsiaTheme="minorHAnsi" w:cs="Times New Roman"/>
                <w:i/>
                <w:iCs/>
                <w:kern w:val="0"/>
                <w:lang w:eastAsia="en-US" w:bidi="ar-SA"/>
              </w:rPr>
              <w:t>p</w:t>
            </w:r>
            <w:r w:rsidR="00505480">
              <w:rPr>
                <w:rFonts w:eastAsiaTheme="minorHAnsi" w:cs="Times New Roman"/>
                <w:kern w:val="0"/>
                <w:lang w:eastAsia="en-US" w:bidi="ar-SA"/>
              </w:rPr>
              <w:t>'</w:t>
            </w:r>
            <w:r w:rsidRPr="00680526">
              <w:rPr>
                <w:rFonts w:eastAsiaTheme="minorHAnsi" w:cs="Times New Roman"/>
                <w:kern w:val="0"/>
                <w:lang w:eastAsia="en-US" w:bidi="ar-SA"/>
              </w:rPr>
              <w:t xml:space="preserve">.  </w:t>
            </w:r>
            <w:r w:rsidR="00D2695C">
              <w:rPr>
                <w:rFonts w:eastAsiaTheme="minorHAnsi" w:cs="Times New Roman"/>
                <w:kern w:val="0"/>
                <w:lang w:eastAsia="en-US" w:bidi="ar-SA"/>
              </w:rPr>
              <w:t xml:space="preserve">Designated </w:t>
            </w:r>
            <w:r w:rsidRPr="00680526">
              <w:rPr>
                <w:rFonts w:eastAsiaTheme="minorHAnsi" w:cs="Times New Roman"/>
                <w:kern w:val="0"/>
                <w:lang w:eastAsia="en-US" w:bidi="ar-SA"/>
              </w:rPr>
              <w:t xml:space="preserve">these </w:t>
            </w:r>
            <w:proofErr w:type="spellStart"/>
            <w:r w:rsidRPr="00680526">
              <w:rPr>
                <w:rFonts w:eastAsiaTheme="minorHAnsi" w:cs="Times New Roman"/>
                <w:i/>
                <w:iCs/>
                <w:kern w:val="0"/>
                <w:lang w:eastAsia="en-US" w:bidi="ar-SA"/>
              </w:rPr>
              <w:t>n</w:t>
            </w:r>
            <w:r w:rsidRPr="00680526">
              <w:rPr>
                <w:rFonts w:eastAsiaTheme="minorHAnsi" w:cs="Times New Roman"/>
                <w:kern w:val="0"/>
                <w:vertAlign w:val="subscript"/>
                <w:lang w:eastAsia="en-US" w:bidi="ar-SA"/>
              </w:rPr>
              <w:t>A</w:t>
            </w:r>
            <w:proofErr w:type="spellEnd"/>
            <w:r w:rsidR="00D2695C">
              <w:rPr>
                <w:rFonts w:eastAsiaTheme="minorHAnsi" w:cs="Times New Roman"/>
                <w:kern w:val="0"/>
                <w:lang w:eastAsia="en-US" w:bidi="ar-SA"/>
              </w:rPr>
              <w:t>(</w:t>
            </w:r>
            <w:r w:rsidR="00D2695C">
              <w:rPr>
                <w:rFonts w:eastAsiaTheme="minorHAnsi" w:cs="Times New Roman"/>
                <w:i/>
                <w:iCs/>
                <w:kern w:val="0"/>
                <w:lang w:eastAsia="en-US" w:bidi="ar-SA"/>
              </w:rPr>
              <w:t>p</w:t>
            </w:r>
            <w:r w:rsidR="00D2695C">
              <w:rPr>
                <w:rFonts w:eastAsiaTheme="minorHAnsi" w:cs="Times New Roman"/>
                <w:kern w:val="0"/>
                <w:lang w:eastAsia="en-US" w:bidi="ar-SA"/>
              </w:rPr>
              <w:t>')</w:t>
            </w:r>
            <w:r w:rsidRPr="00680526">
              <w:rPr>
                <w:rFonts w:eastAsiaTheme="minorHAnsi" w:cs="Times New Roman"/>
                <w:kern w:val="0"/>
                <w:lang w:eastAsia="en-US" w:bidi="ar-SA"/>
              </w:rPr>
              <w:t xml:space="preserve"> and </w:t>
            </w:r>
            <w:proofErr w:type="spellStart"/>
            <w:r w:rsidRPr="00680526">
              <w:rPr>
                <w:rFonts w:eastAsiaTheme="minorHAnsi" w:cs="Times New Roman"/>
                <w:i/>
                <w:iCs/>
                <w:kern w:val="0"/>
                <w:lang w:eastAsia="en-US" w:bidi="ar-SA"/>
              </w:rPr>
              <w:t>n</w:t>
            </w:r>
            <w:r w:rsidRPr="00680526">
              <w:rPr>
                <w:rFonts w:eastAsiaTheme="minorHAnsi" w:cs="Times New Roman"/>
                <w:kern w:val="0"/>
                <w:vertAlign w:val="subscript"/>
                <w:lang w:eastAsia="en-US" w:bidi="ar-SA"/>
              </w:rPr>
              <w:t>B</w:t>
            </w:r>
            <w:proofErr w:type="spellEnd"/>
            <w:r w:rsidR="00D2695C">
              <w:rPr>
                <w:rFonts w:eastAsiaTheme="minorHAnsi" w:cs="Times New Roman"/>
                <w:kern w:val="0"/>
                <w:lang w:eastAsia="en-US" w:bidi="ar-SA"/>
              </w:rPr>
              <w:t>(</w:t>
            </w:r>
            <w:r w:rsidR="00D2695C">
              <w:rPr>
                <w:rFonts w:eastAsiaTheme="minorHAnsi" w:cs="Times New Roman"/>
                <w:i/>
                <w:iCs/>
                <w:kern w:val="0"/>
                <w:lang w:eastAsia="en-US" w:bidi="ar-SA"/>
              </w:rPr>
              <w:t>p</w:t>
            </w:r>
            <w:r w:rsidR="00D2695C">
              <w:rPr>
                <w:rFonts w:eastAsiaTheme="minorHAnsi" w:cs="Times New Roman"/>
                <w:kern w:val="0"/>
                <w:lang w:eastAsia="en-US" w:bidi="ar-SA"/>
              </w:rPr>
              <w:t>'</w:t>
            </w:r>
            <w:r>
              <w:rPr>
                <w:rFonts w:eastAsiaTheme="minorHAnsi" w:cs="Times New Roman"/>
                <w:kern w:val="0"/>
                <w:lang w:eastAsia="en-US" w:bidi="ar-SA"/>
              </w:rPr>
              <w:t>)</w:t>
            </w:r>
          </w:p>
        </w:tc>
      </w:tr>
      <w:tr w:rsidR="00D84486" w14:paraId="3BCEAA14" w14:textId="77777777" w:rsidTr="00CE251B">
        <w:tc>
          <w:tcPr>
            <w:tcW w:w="535" w:type="dxa"/>
          </w:tcPr>
          <w:p w14:paraId="485D57D4" w14:textId="4EE5AED1" w:rsidR="00D84486" w:rsidRPr="00D84486" w:rsidRDefault="00D84486" w:rsidP="0053346D">
            <w:pPr>
              <w:rPr>
                <w:rFonts w:cs="Times New Roman"/>
              </w:rPr>
            </w:pPr>
            <w:r w:rsidRPr="00D84486">
              <w:rPr>
                <w:rFonts w:cs="Times New Roman"/>
              </w:rPr>
              <w:t>5)</w:t>
            </w:r>
          </w:p>
        </w:tc>
        <w:tc>
          <w:tcPr>
            <w:tcW w:w="4407" w:type="dxa"/>
          </w:tcPr>
          <w:p w14:paraId="24BC8528" w14:textId="77777777" w:rsidR="00D84486" w:rsidRPr="00864D1D" w:rsidRDefault="00D84486" w:rsidP="00AA750E">
            <w:pPr>
              <w:autoSpaceDE w:val="0"/>
              <w:autoSpaceDN w:val="0"/>
              <w:adjustRightInd w:val="0"/>
              <w:rPr>
                <w:rFonts w:eastAsiaTheme="minorHAnsi" w:cs="Times New Roman"/>
                <w:kern w:val="0"/>
                <w:lang w:eastAsia="en-US" w:bidi="ar-SA"/>
              </w:rPr>
            </w:pPr>
            <w:r w:rsidRPr="00864D1D">
              <w:rPr>
                <w:rFonts w:eastAsiaTheme="minorHAnsi" w:cs="Times New Roman"/>
                <w:kern w:val="0"/>
                <w:lang w:eastAsia="en-US" w:bidi="ar-SA"/>
              </w:rPr>
              <w:t xml:space="preserve">Draw straight lines from for </w:t>
            </w:r>
          </w:p>
          <w:p w14:paraId="01453335" w14:textId="0F6AA75D" w:rsidR="00D84486" w:rsidRDefault="00D84486" w:rsidP="00AA750E">
            <w:pPr>
              <w:autoSpaceDE w:val="0"/>
              <w:autoSpaceDN w:val="0"/>
              <w:adjustRightInd w:val="0"/>
              <w:rPr>
                <w:rFonts w:eastAsiaTheme="minorHAnsi" w:cs="Times New Roman"/>
                <w:kern w:val="0"/>
                <w:lang w:eastAsia="en-US" w:bidi="ar-SA"/>
              </w:rPr>
            </w:pPr>
            <w:r w:rsidRPr="00864D1D">
              <w:rPr>
                <w:rFonts w:eastAsiaTheme="minorHAnsi" w:cs="Times New Roman"/>
                <w:kern w:val="0"/>
                <w:lang w:eastAsia="en-US" w:bidi="ar-SA"/>
              </w:rPr>
              <w:t xml:space="preserve">A: </w:t>
            </w:r>
            <w:r>
              <w:rPr>
                <w:rFonts w:eastAsiaTheme="minorHAnsi" w:cs="Times New Roman"/>
                <w:kern w:val="0"/>
                <w:lang w:eastAsia="en-US" w:bidi="ar-SA"/>
              </w:rPr>
              <w:t>(</w:t>
            </w:r>
            <w:r w:rsidRPr="00864D1D">
              <w:rPr>
                <w:rFonts w:eastAsiaTheme="minorHAnsi" w:cs="Times New Roman"/>
                <w:kern w:val="0"/>
                <w:lang w:eastAsia="en-US" w:bidi="ar-SA"/>
              </w:rPr>
              <w:t>χ</w:t>
            </w:r>
            <w:r>
              <w:rPr>
                <w:rFonts w:eastAsiaTheme="minorHAnsi" w:cs="Times New Roman"/>
                <w:kern w:val="0"/>
                <w:lang w:eastAsia="en-US" w:bidi="ar-SA"/>
              </w:rPr>
              <w:t>,</w:t>
            </w:r>
            <w:r w:rsidRPr="00864D1D">
              <w:rPr>
                <w:rFonts w:eastAsiaTheme="minorHAnsi" w:cs="Times New Roman"/>
                <w:i/>
                <w:iCs/>
                <w:kern w:val="0"/>
                <w:lang w:eastAsia="en-US" w:bidi="ar-SA"/>
              </w:rPr>
              <w:t xml:space="preserve"> </w:t>
            </w:r>
            <w:proofErr w:type="spellStart"/>
            <w:r w:rsidRPr="00864D1D">
              <w:rPr>
                <w:rFonts w:eastAsiaTheme="minorHAnsi" w:cs="Times New Roman"/>
                <w:i/>
                <w:iCs/>
                <w:kern w:val="0"/>
                <w:lang w:eastAsia="en-US" w:bidi="ar-SA"/>
              </w:rPr>
              <w:t>n</w:t>
            </w:r>
            <w:r>
              <w:rPr>
                <w:rFonts w:eastAsiaTheme="minorHAnsi" w:cs="Times New Roman"/>
                <w:kern w:val="0"/>
                <w:vertAlign w:val="subscript"/>
                <w:lang w:eastAsia="en-US" w:bidi="ar-SA"/>
              </w:rPr>
              <w:t>A</w:t>
            </w:r>
            <w:proofErr w:type="spellEnd"/>
            <w:r>
              <w:rPr>
                <w:rFonts w:eastAsiaTheme="minorHAnsi" w:cs="Times New Roman"/>
                <w:kern w:val="0"/>
                <w:lang w:eastAsia="en-US" w:bidi="ar-SA"/>
              </w:rPr>
              <w:t>)</w:t>
            </w:r>
            <w:r w:rsidRPr="00864D1D">
              <w:rPr>
                <w:rFonts w:eastAsiaTheme="minorHAnsi" w:cs="Times New Roman"/>
                <w:kern w:val="0"/>
                <w:lang w:eastAsia="en-US" w:bidi="ar-SA"/>
              </w:rPr>
              <w:t xml:space="preserve"> = </w:t>
            </w:r>
          </w:p>
          <w:p w14:paraId="5BC6862F" w14:textId="6A16A1AC" w:rsidR="00D84486" w:rsidRPr="00864D1D" w:rsidRDefault="00D84486" w:rsidP="00AA750E">
            <w:pPr>
              <w:autoSpaceDE w:val="0"/>
              <w:autoSpaceDN w:val="0"/>
              <w:adjustRightInd w:val="0"/>
              <w:rPr>
                <w:rFonts w:eastAsiaTheme="minorHAnsi" w:cs="Times New Roman"/>
                <w:kern w:val="0"/>
                <w:lang w:eastAsia="en-US" w:bidi="ar-SA"/>
              </w:rPr>
            </w:pPr>
            <w:r>
              <w:rPr>
                <w:rFonts w:eastAsiaTheme="minorHAnsi" w:cs="Times New Roman"/>
                <w:kern w:val="0"/>
                <w:lang w:eastAsia="en-US" w:bidi="ar-SA"/>
              </w:rPr>
              <w:t>(</w:t>
            </w:r>
            <w:r w:rsidRPr="00864D1D">
              <w:rPr>
                <w:rFonts w:eastAsiaTheme="minorHAnsi" w:cs="Times New Roman"/>
                <w:kern w:val="0"/>
                <w:lang w:eastAsia="en-US" w:bidi="ar-SA"/>
              </w:rPr>
              <w:t>χ</w:t>
            </w:r>
            <w:r w:rsidRPr="00864D1D">
              <w:rPr>
                <w:rFonts w:eastAsiaTheme="minorHAnsi" w:cs="Times New Roman"/>
                <w:kern w:val="0"/>
                <w:vertAlign w:val="subscript"/>
                <w:lang w:eastAsia="en-US" w:bidi="ar-SA"/>
              </w:rPr>
              <w:t>ς</w:t>
            </w:r>
            <w:r w:rsidRPr="00864D1D">
              <w:rPr>
                <w:rFonts w:eastAsiaTheme="minorHAnsi" w:cs="Times New Roman"/>
                <w:kern w:val="0"/>
                <w:lang w:eastAsia="en-US" w:bidi="ar-SA"/>
              </w:rPr>
              <w:t>(A)</w:t>
            </w:r>
            <w:r>
              <w:rPr>
                <w:rFonts w:eastAsiaTheme="minorHAnsi" w:cs="Times New Roman"/>
                <w:kern w:val="0"/>
                <w:lang w:eastAsia="en-US" w:bidi="ar-SA"/>
              </w:rPr>
              <w:t>,0)</w:t>
            </w:r>
            <w:r w:rsidRPr="00864D1D">
              <w:rPr>
                <w:rFonts w:eastAsiaTheme="minorHAnsi" w:cs="Times New Roman"/>
                <w:kern w:val="0"/>
                <w:lang w:eastAsia="en-US" w:bidi="ar-SA"/>
              </w:rPr>
              <w:t xml:space="preserve"> to </w:t>
            </w:r>
            <w:r>
              <w:rPr>
                <w:rFonts w:eastAsiaTheme="minorHAnsi" w:cs="Times New Roman"/>
                <w:kern w:val="0"/>
                <w:lang w:eastAsia="en-US" w:bidi="ar-SA"/>
              </w:rPr>
              <w:t>(</w:t>
            </w:r>
            <w:r w:rsidRPr="00864D1D">
              <w:rPr>
                <w:rFonts w:eastAsiaTheme="minorHAnsi" w:cs="Times New Roman"/>
                <w:kern w:val="0"/>
                <w:lang w:eastAsia="en-US" w:bidi="ar-SA"/>
              </w:rPr>
              <w:t>χ(</w:t>
            </w:r>
            <w:r w:rsidRPr="00864D1D">
              <w:rPr>
                <w:rFonts w:eastAsiaTheme="minorHAnsi" w:cs="Times New Roman"/>
                <w:i/>
                <w:iCs/>
                <w:kern w:val="0"/>
                <w:lang w:eastAsia="en-US" w:bidi="ar-SA"/>
              </w:rPr>
              <w:t>p</w:t>
            </w:r>
            <w:r w:rsidRPr="00864D1D">
              <w:rPr>
                <w:rFonts w:eastAsiaTheme="minorHAnsi" w:cs="Times New Roman"/>
                <w:kern w:val="0"/>
                <w:lang w:eastAsia="en-US" w:bidi="ar-SA"/>
              </w:rPr>
              <w:t>’(A))</w:t>
            </w:r>
            <w:r>
              <w:rPr>
                <w:rFonts w:eastAsiaTheme="minorHAnsi" w:cs="Times New Roman"/>
                <w:kern w:val="0"/>
                <w:lang w:eastAsia="en-US" w:bidi="ar-SA"/>
              </w:rPr>
              <w:t>,</w:t>
            </w:r>
            <w:r w:rsidRPr="00680526">
              <w:rPr>
                <w:rFonts w:eastAsiaTheme="minorHAnsi" w:cs="Times New Roman"/>
                <w:i/>
                <w:iCs/>
                <w:kern w:val="0"/>
                <w:lang w:eastAsia="en-US" w:bidi="ar-SA"/>
              </w:rPr>
              <w:t xml:space="preserve"> </w:t>
            </w:r>
            <w:proofErr w:type="spellStart"/>
            <w:r w:rsidRPr="00680526">
              <w:rPr>
                <w:rFonts w:eastAsiaTheme="minorHAnsi" w:cs="Times New Roman"/>
                <w:i/>
                <w:iCs/>
                <w:kern w:val="0"/>
                <w:lang w:eastAsia="en-US" w:bidi="ar-SA"/>
              </w:rPr>
              <w:t>n</w:t>
            </w:r>
            <w:r w:rsidRPr="00680526">
              <w:rPr>
                <w:rFonts w:eastAsiaTheme="minorHAnsi" w:cs="Times New Roman"/>
                <w:kern w:val="0"/>
                <w:vertAlign w:val="subscript"/>
                <w:lang w:eastAsia="en-US" w:bidi="ar-SA"/>
              </w:rPr>
              <w:t>A</w:t>
            </w:r>
            <w:proofErr w:type="spellEnd"/>
            <w:r>
              <w:rPr>
                <w:rFonts w:eastAsiaTheme="minorHAnsi" w:cs="Times New Roman"/>
                <w:kern w:val="0"/>
                <w:lang w:eastAsia="en-US" w:bidi="ar-SA"/>
              </w:rPr>
              <w:t>(</w:t>
            </w:r>
            <w:r>
              <w:rPr>
                <w:rFonts w:eastAsiaTheme="minorHAnsi" w:cs="Times New Roman"/>
                <w:i/>
                <w:iCs/>
                <w:kern w:val="0"/>
                <w:lang w:eastAsia="en-US" w:bidi="ar-SA"/>
              </w:rPr>
              <w:t>p</w:t>
            </w:r>
            <w:r>
              <w:rPr>
                <w:rFonts w:eastAsiaTheme="minorHAnsi" w:cs="Times New Roman"/>
                <w:kern w:val="0"/>
                <w:lang w:eastAsia="en-US" w:bidi="ar-SA"/>
              </w:rPr>
              <w:t>')</w:t>
            </w:r>
            <w:r w:rsidRPr="00864D1D">
              <w:rPr>
                <w:rFonts w:eastAsiaTheme="minorHAnsi" w:cs="Times New Roman"/>
                <w:kern w:val="0"/>
                <w:lang w:eastAsia="en-US" w:bidi="ar-SA"/>
              </w:rPr>
              <w:t xml:space="preserve">) </w:t>
            </w:r>
          </w:p>
        </w:tc>
        <w:tc>
          <w:tcPr>
            <w:tcW w:w="4408" w:type="dxa"/>
          </w:tcPr>
          <w:p w14:paraId="259B186C" w14:textId="49160334" w:rsidR="00D84486" w:rsidRDefault="00D84486" w:rsidP="00AA750E">
            <w:pPr>
              <w:rPr>
                <w:rFonts w:eastAsiaTheme="minorHAnsi" w:cs="Times New Roman"/>
                <w:kern w:val="0"/>
                <w:lang w:eastAsia="en-US" w:bidi="ar-SA"/>
              </w:rPr>
            </w:pPr>
            <w:r>
              <w:rPr>
                <w:rFonts w:eastAsiaTheme="minorHAnsi" w:cs="Times New Roman"/>
                <w:kern w:val="0"/>
                <w:lang w:eastAsia="en-US" w:bidi="ar-SA"/>
              </w:rPr>
              <w:t>and for</w:t>
            </w:r>
          </w:p>
          <w:p w14:paraId="19D63BE9" w14:textId="77777777" w:rsidR="00D84486" w:rsidRDefault="00D84486" w:rsidP="00D84486">
            <w:pPr>
              <w:rPr>
                <w:rFonts w:eastAsiaTheme="minorHAnsi" w:cs="Times New Roman"/>
                <w:kern w:val="0"/>
                <w:lang w:eastAsia="en-US" w:bidi="ar-SA"/>
              </w:rPr>
            </w:pPr>
            <w:r w:rsidRPr="00864D1D">
              <w:rPr>
                <w:rFonts w:eastAsiaTheme="minorHAnsi" w:cs="Times New Roman"/>
                <w:kern w:val="0"/>
                <w:lang w:eastAsia="en-US" w:bidi="ar-SA"/>
              </w:rPr>
              <w:t xml:space="preserve">B: </w:t>
            </w:r>
            <w:r>
              <w:rPr>
                <w:rFonts w:eastAsiaTheme="minorHAnsi" w:cs="Times New Roman"/>
                <w:kern w:val="0"/>
                <w:lang w:eastAsia="en-US" w:bidi="ar-SA"/>
              </w:rPr>
              <w:t>(</w:t>
            </w:r>
            <w:r w:rsidRPr="00864D1D">
              <w:rPr>
                <w:rFonts w:eastAsiaTheme="minorHAnsi" w:cs="Times New Roman"/>
                <w:kern w:val="0"/>
                <w:lang w:eastAsia="en-US" w:bidi="ar-SA"/>
              </w:rPr>
              <w:t>χ</w:t>
            </w:r>
            <w:r>
              <w:rPr>
                <w:rFonts w:eastAsiaTheme="minorHAnsi" w:cs="Times New Roman"/>
                <w:kern w:val="0"/>
                <w:lang w:eastAsia="en-US" w:bidi="ar-SA"/>
              </w:rPr>
              <w:t>,</w:t>
            </w:r>
            <w:r w:rsidRPr="00864D1D">
              <w:rPr>
                <w:rFonts w:eastAsiaTheme="minorHAnsi" w:cs="Times New Roman"/>
                <w:i/>
                <w:iCs/>
                <w:kern w:val="0"/>
                <w:lang w:eastAsia="en-US" w:bidi="ar-SA"/>
              </w:rPr>
              <w:t xml:space="preserve"> </w:t>
            </w:r>
            <w:proofErr w:type="spellStart"/>
            <w:r w:rsidRPr="00864D1D">
              <w:rPr>
                <w:rFonts w:eastAsiaTheme="minorHAnsi" w:cs="Times New Roman"/>
                <w:i/>
                <w:iCs/>
                <w:kern w:val="0"/>
                <w:lang w:eastAsia="en-US" w:bidi="ar-SA"/>
              </w:rPr>
              <w:t>n</w:t>
            </w:r>
            <w:r>
              <w:rPr>
                <w:rFonts w:eastAsiaTheme="minorHAnsi" w:cs="Times New Roman"/>
                <w:kern w:val="0"/>
                <w:vertAlign w:val="subscript"/>
                <w:lang w:eastAsia="en-US" w:bidi="ar-SA"/>
              </w:rPr>
              <w:t>B</w:t>
            </w:r>
            <w:proofErr w:type="spellEnd"/>
            <w:r>
              <w:rPr>
                <w:rFonts w:eastAsiaTheme="minorHAnsi" w:cs="Times New Roman"/>
                <w:kern w:val="0"/>
                <w:lang w:eastAsia="en-US" w:bidi="ar-SA"/>
              </w:rPr>
              <w:t>)</w:t>
            </w:r>
            <w:r w:rsidRPr="00864D1D">
              <w:rPr>
                <w:rFonts w:eastAsiaTheme="minorHAnsi" w:cs="Times New Roman"/>
                <w:kern w:val="0"/>
                <w:lang w:eastAsia="en-US" w:bidi="ar-SA"/>
              </w:rPr>
              <w:t xml:space="preserve"> =</w:t>
            </w:r>
            <w:r>
              <w:rPr>
                <w:rFonts w:eastAsiaTheme="minorHAnsi" w:cs="Times New Roman"/>
                <w:kern w:val="0"/>
                <w:lang w:eastAsia="en-US" w:bidi="ar-SA"/>
              </w:rPr>
              <w:t xml:space="preserve"> </w:t>
            </w:r>
          </w:p>
          <w:p w14:paraId="3FFF2F84" w14:textId="040B3625" w:rsidR="00D84486" w:rsidRPr="00D85B2C" w:rsidRDefault="00D84486" w:rsidP="00D84486">
            <w:pPr>
              <w:rPr>
                <w:rFonts w:cs="Times New Roman"/>
                <w:strike/>
              </w:rPr>
            </w:pPr>
            <w:r>
              <w:rPr>
                <w:rFonts w:eastAsiaTheme="minorHAnsi" w:cs="Times New Roman"/>
                <w:kern w:val="0"/>
                <w:lang w:eastAsia="en-US" w:bidi="ar-SA"/>
              </w:rPr>
              <w:t>(</w:t>
            </w:r>
            <w:r w:rsidRPr="00864D1D">
              <w:rPr>
                <w:rFonts w:eastAsiaTheme="minorHAnsi" w:cs="Times New Roman"/>
                <w:kern w:val="0"/>
                <w:lang w:eastAsia="en-US" w:bidi="ar-SA"/>
              </w:rPr>
              <w:t>χ</w:t>
            </w:r>
            <w:r w:rsidRPr="00864D1D">
              <w:rPr>
                <w:rFonts w:eastAsiaTheme="minorHAnsi" w:cs="Times New Roman"/>
                <w:kern w:val="0"/>
                <w:vertAlign w:val="subscript"/>
                <w:lang w:eastAsia="en-US" w:bidi="ar-SA"/>
              </w:rPr>
              <w:t>ς</w:t>
            </w:r>
            <w:r w:rsidRPr="00864D1D">
              <w:rPr>
                <w:rFonts w:eastAsiaTheme="minorHAnsi" w:cs="Times New Roman"/>
                <w:kern w:val="0"/>
                <w:lang w:eastAsia="en-US" w:bidi="ar-SA"/>
              </w:rPr>
              <w:t xml:space="preserve"> (</w:t>
            </w:r>
            <w:proofErr w:type="gramStart"/>
            <w:r w:rsidRPr="00864D1D">
              <w:rPr>
                <w:rFonts w:eastAsiaTheme="minorHAnsi" w:cs="Times New Roman"/>
                <w:kern w:val="0"/>
                <w:lang w:eastAsia="en-US" w:bidi="ar-SA"/>
              </w:rPr>
              <w:t>A!</w:t>
            </w:r>
            <w:r>
              <w:rPr>
                <w:rFonts w:eastAsiaTheme="minorHAnsi" w:cs="Times New Roman"/>
                <w:kern w:val="0"/>
                <w:lang w:eastAsia="en-US" w:bidi="ar-SA"/>
              </w:rPr>
              <w:t>*</w:t>
            </w:r>
            <w:proofErr w:type="gramEnd"/>
            <w:r w:rsidRPr="00864D1D">
              <w:rPr>
                <w:rFonts w:eastAsiaTheme="minorHAnsi" w:cs="Times New Roman"/>
                <w:kern w:val="0"/>
                <w:lang w:eastAsia="en-US" w:bidi="ar-SA"/>
              </w:rPr>
              <w:t>)</w:t>
            </w:r>
            <w:r>
              <w:rPr>
                <w:rFonts w:eastAsiaTheme="minorHAnsi" w:cs="Times New Roman"/>
                <w:kern w:val="0"/>
                <w:lang w:eastAsia="en-US" w:bidi="ar-SA"/>
              </w:rPr>
              <w:t>,</w:t>
            </w:r>
            <w:r w:rsidRPr="00864D1D">
              <w:rPr>
                <w:rFonts w:eastAsiaTheme="minorHAnsi" w:cs="Times New Roman"/>
                <w:kern w:val="0"/>
                <w:lang w:eastAsia="en-US" w:bidi="ar-SA"/>
              </w:rPr>
              <w:t xml:space="preserve"> </w:t>
            </w:r>
            <w:proofErr w:type="spellStart"/>
            <w:r w:rsidRPr="00864D1D">
              <w:rPr>
                <w:rFonts w:eastAsiaTheme="minorHAnsi" w:cs="Times New Roman"/>
                <w:i/>
                <w:iCs/>
                <w:kern w:val="0"/>
                <w:lang w:eastAsia="en-US" w:bidi="ar-SA"/>
              </w:rPr>
              <w:t>n</w:t>
            </w:r>
            <w:r>
              <w:rPr>
                <w:rFonts w:eastAsiaTheme="minorHAnsi" w:cs="Times New Roman"/>
                <w:kern w:val="0"/>
                <w:vertAlign w:val="subscript"/>
                <w:lang w:eastAsia="en-US" w:bidi="ar-SA"/>
              </w:rPr>
              <w:t>B</w:t>
            </w:r>
            <w:proofErr w:type="spellEnd"/>
            <w:r>
              <w:rPr>
                <w:rFonts w:eastAsiaTheme="minorHAnsi" w:cs="Times New Roman"/>
                <w:kern w:val="0"/>
                <w:vertAlign w:val="subscript"/>
                <w:lang w:eastAsia="en-US" w:bidi="ar-SA"/>
              </w:rPr>
              <w:t xml:space="preserve"> </w:t>
            </w:r>
            <w:r w:rsidRPr="00864D1D">
              <w:rPr>
                <w:rFonts w:eastAsiaTheme="minorHAnsi" w:cs="Times New Roman"/>
                <w:kern w:val="0"/>
                <w:lang w:eastAsia="en-US" w:bidi="ar-SA"/>
              </w:rPr>
              <w:t>(</w:t>
            </w:r>
            <w:r w:rsidRPr="00864D1D">
              <w:rPr>
                <w:rFonts w:eastAsiaTheme="minorHAnsi" w:cs="Times New Roman"/>
                <w:i/>
                <w:iCs/>
                <w:kern w:val="0"/>
                <w:lang w:eastAsia="en-US" w:bidi="ar-SA"/>
              </w:rPr>
              <w:t>p</w:t>
            </w:r>
            <w:r w:rsidRPr="00864D1D">
              <w:rPr>
                <w:rFonts w:eastAsiaTheme="minorHAnsi" w:cs="Times New Roman"/>
                <w:kern w:val="0"/>
                <w:lang w:eastAsia="en-US" w:bidi="ar-SA"/>
              </w:rPr>
              <w:t>’)</w:t>
            </w:r>
            <w:r>
              <w:rPr>
                <w:rFonts w:eastAsiaTheme="minorHAnsi" w:cs="Times New Roman"/>
                <w:kern w:val="0"/>
                <w:lang w:eastAsia="en-US" w:bidi="ar-SA"/>
              </w:rPr>
              <w:t>)</w:t>
            </w:r>
            <w:r w:rsidRPr="00864D1D">
              <w:rPr>
                <w:rFonts w:eastAsiaTheme="minorHAnsi" w:cs="Times New Roman"/>
                <w:kern w:val="0"/>
                <w:lang w:eastAsia="en-US" w:bidi="ar-SA"/>
              </w:rPr>
              <w:t xml:space="preserve"> to </w:t>
            </w:r>
            <w:r>
              <w:rPr>
                <w:rFonts w:eastAsiaTheme="minorHAnsi" w:cs="Times New Roman"/>
                <w:kern w:val="0"/>
                <w:lang w:eastAsia="en-US" w:bidi="ar-SA"/>
              </w:rPr>
              <w:t>(</w:t>
            </w:r>
            <w:r w:rsidRPr="00864D1D">
              <w:rPr>
                <w:rFonts w:eastAsiaTheme="minorHAnsi" w:cs="Times New Roman"/>
                <w:kern w:val="0"/>
                <w:lang w:eastAsia="en-US" w:bidi="ar-SA"/>
              </w:rPr>
              <w:t>χ(</w:t>
            </w:r>
            <w:r w:rsidRPr="00864D1D">
              <w:rPr>
                <w:rFonts w:eastAsiaTheme="minorHAnsi" w:cs="Times New Roman"/>
                <w:i/>
                <w:iCs/>
                <w:kern w:val="0"/>
                <w:lang w:eastAsia="en-US" w:bidi="ar-SA"/>
              </w:rPr>
              <w:t>p</w:t>
            </w:r>
            <w:r w:rsidRPr="00864D1D">
              <w:rPr>
                <w:rFonts w:eastAsiaTheme="minorHAnsi" w:cs="Times New Roman"/>
                <w:kern w:val="0"/>
                <w:lang w:eastAsia="en-US" w:bidi="ar-SA"/>
              </w:rPr>
              <w:t>’(A!</w:t>
            </w:r>
            <w:r>
              <w:rPr>
                <w:rFonts w:eastAsiaTheme="minorHAnsi" w:cs="Times New Roman"/>
                <w:kern w:val="0"/>
                <w:lang w:eastAsia="en-US" w:bidi="ar-SA"/>
              </w:rPr>
              <w:t>*</w:t>
            </w:r>
            <w:r w:rsidRPr="00864D1D">
              <w:rPr>
                <w:rFonts w:eastAsiaTheme="minorHAnsi" w:cs="Times New Roman"/>
                <w:kern w:val="0"/>
                <w:lang w:eastAsia="en-US" w:bidi="ar-SA"/>
              </w:rPr>
              <w:t>))</w:t>
            </w:r>
            <w:r>
              <w:rPr>
                <w:rFonts w:eastAsiaTheme="minorHAnsi" w:cs="Times New Roman"/>
                <w:kern w:val="0"/>
                <w:lang w:eastAsia="en-US" w:bidi="ar-SA"/>
              </w:rPr>
              <w:t>,</w:t>
            </w:r>
            <w:r w:rsidRPr="00864D1D">
              <w:rPr>
                <w:rFonts w:eastAsiaTheme="minorHAnsi" w:cs="Times New Roman"/>
                <w:kern w:val="0"/>
                <w:lang w:eastAsia="en-US" w:bidi="ar-SA"/>
              </w:rPr>
              <w:t>0</w:t>
            </w:r>
            <w:r>
              <w:rPr>
                <w:rFonts w:eastAsiaTheme="minorHAnsi" w:cs="Times New Roman"/>
                <w:kern w:val="0"/>
                <w:lang w:eastAsia="en-US" w:bidi="ar-SA"/>
              </w:rPr>
              <w:t>)</w:t>
            </w:r>
          </w:p>
        </w:tc>
      </w:tr>
      <w:tr w:rsidR="00D84486" w14:paraId="17E9BC3D" w14:textId="77777777" w:rsidTr="00F979FB">
        <w:tc>
          <w:tcPr>
            <w:tcW w:w="9350" w:type="dxa"/>
            <w:gridSpan w:val="3"/>
          </w:tcPr>
          <w:p w14:paraId="32B9AB34" w14:textId="2C1701DD" w:rsidR="00D84486" w:rsidRPr="00D84486" w:rsidRDefault="00D84486" w:rsidP="00AA750E">
            <w:r>
              <w:rPr>
                <w:lang w:val="en-CA"/>
              </w:rPr>
              <w:fldChar w:fldCharType="begin"/>
            </w:r>
            <w:r>
              <w:rPr>
                <w:lang w:val="en-CA"/>
              </w:rPr>
              <w:instrText xml:space="preserve"> SEQ CHAPTER \h \r 1</w:instrText>
            </w:r>
            <w:r>
              <w:rPr>
                <w:lang w:val="en-CA"/>
              </w:rPr>
              <w:fldChar w:fldCharType="end"/>
            </w:r>
            <w:r>
              <w:t>The “!” is placed here to emphasize that one uses only the χ values for A.</w:t>
            </w:r>
          </w:p>
        </w:tc>
      </w:tr>
    </w:tbl>
    <w:p w14:paraId="75FBB315" w14:textId="77777777" w:rsidR="00D84486" w:rsidRDefault="00D84486" w:rsidP="00680526">
      <w:pPr>
        <w:rPr>
          <w:lang w:val="en-CA"/>
        </w:rPr>
      </w:pPr>
    </w:p>
    <w:p w14:paraId="1E44C58A" w14:textId="1C346D44" w:rsidR="00AF62E4" w:rsidRPr="00AF62E4" w:rsidRDefault="0087693B" w:rsidP="002E3D84">
      <w:pPr>
        <w:rPr>
          <w:rFonts w:eastAsiaTheme="minorHAnsi" w:cs="Times New Roman"/>
          <w:kern w:val="0"/>
          <w:lang w:eastAsia="en-US" w:bidi="ar-SA"/>
        </w:rPr>
      </w:pPr>
      <w:r>
        <w:rPr>
          <w:lang w:val="en-CA"/>
        </w:rPr>
        <w:fldChar w:fldCharType="begin"/>
      </w:r>
      <w:r>
        <w:rPr>
          <w:lang w:val="en-CA"/>
        </w:rPr>
        <w:instrText xml:space="preserve"> SEQ CHAPTER \h \r 1</w:instrText>
      </w:r>
      <w:r>
        <w:rPr>
          <w:lang w:val="en-CA"/>
        </w:rPr>
        <w:fldChar w:fldCharType="end"/>
      </w:r>
      <w:r>
        <w:t>The diagram below illustrates the method.</w:t>
      </w:r>
      <w:r w:rsidR="002E3D84">
        <w:t xml:space="preserve">  </w:t>
      </w:r>
      <w:r w:rsidR="00207DA8" w:rsidRPr="00207DA8">
        <w:rPr>
          <w:rFonts w:eastAsiaTheme="minorHAnsi" w:cs="Times New Roman"/>
          <w:kern w:val="0"/>
          <w:lang w:val="en-CA" w:eastAsia="en-US" w:bidi="ar-SA"/>
        </w:rPr>
        <w:fldChar w:fldCharType="begin"/>
      </w:r>
      <w:r w:rsidR="00207DA8" w:rsidRPr="00207DA8">
        <w:rPr>
          <w:rFonts w:eastAsiaTheme="minorHAnsi" w:cs="Times New Roman"/>
          <w:kern w:val="0"/>
          <w:lang w:val="en-CA" w:eastAsia="en-US" w:bidi="ar-SA"/>
        </w:rPr>
        <w:instrText xml:space="preserve"> SEQ CHAPTER \h \r 1</w:instrText>
      </w:r>
      <w:r w:rsidR="00207DA8" w:rsidRPr="00207DA8">
        <w:rPr>
          <w:rFonts w:eastAsiaTheme="minorHAnsi" w:cs="Times New Roman"/>
          <w:kern w:val="0"/>
          <w:lang w:val="en-CA" w:eastAsia="en-US" w:bidi="ar-SA"/>
        </w:rPr>
        <w:fldChar w:fldCharType="end"/>
      </w:r>
      <w:r w:rsidR="00207DA8" w:rsidRPr="00207DA8">
        <w:rPr>
          <w:rFonts w:eastAsiaTheme="minorHAnsi" w:cs="Times New Roman"/>
          <w:kern w:val="0"/>
          <w:lang w:eastAsia="en-US" w:bidi="ar-SA"/>
        </w:rPr>
        <w:t>In the single adsorbate isotherms, component A has the lowest χ</w:t>
      </w:r>
      <w:r w:rsidR="00207DA8" w:rsidRPr="00207DA8">
        <w:rPr>
          <w:rFonts w:eastAsiaTheme="minorHAnsi" w:cs="Times New Roman"/>
          <w:kern w:val="0"/>
          <w:vertAlign w:val="subscript"/>
          <w:lang w:eastAsia="en-US" w:bidi="ar-SA"/>
        </w:rPr>
        <w:t>ς</w:t>
      </w:r>
      <w:r w:rsidR="00207DA8" w:rsidRPr="00207DA8">
        <w:rPr>
          <w:rFonts w:eastAsiaTheme="minorHAnsi" w:cs="Times New Roman"/>
          <w:kern w:val="0"/>
          <w:lang w:eastAsia="en-US" w:bidi="ar-SA"/>
        </w:rPr>
        <w:t xml:space="preserve"> (largest exothermic adsorption energy) so the abscissa is specified by it. The four points needed are shown</w:t>
      </w:r>
      <w:r w:rsidR="00F5636D">
        <w:rPr>
          <w:rFonts w:eastAsiaTheme="minorHAnsi" w:cs="Times New Roman"/>
          <w:kern w:val="0"/>
          <w:lang w:eastAsia="en-US" w:bidi="ar-SA"/>
        </w:rPr>
        <w:t xml:space="preserve"> in parenthesis</w:t>
      </w:r>
      <w:r w:rsidR="00207DA8" w:rsidRPr="00207DA8">
        <w:rPr>
          <w:rFonts w:eastAsiaTheme="minorHAnsi" w:cs="Times New Roman"/>
          <w:kern w:val="0"/>
          <w:lang w:eastAsia="en-US" w:bidi="ar-SA"/>
        </w:rPr>
        <w:t>.</w:t>
      </w:r>
    </w:p>
    <w:p w14:paraId="4F5AF84D" w14:textId="3CA7EB4E" w:rsidR="00AF62E4" w:rsidRPr="00AF62E4" w:rsidRDefault="00AF62E4" w:rsidP="00AF62E4">
      <w:pPr>
        <w:autoSpaceDE w:val="0"/>
        <w:autoSpaceDN w:val="0"/>
        <w:adjustRightInd w:val="0"/>
        <w:rPr>
          <w:rFonts w:eastAsiaTheme="minorHAnsi" w:cs="Times New Roman"/>
          <w:kern w:val="0"/>
          <w:lang w:eastAsia="en-US" w:bidi="ar-SA"/>
        </w:rPr>
      </w:pPr>
    </w:p>
    <w:tbl>
      <w:tblPr>
        <w:tblStyle w:val="TableGrid"/>
        <w:tblW w:w="0" w:type="auto"/>
        <w:tblLook w:val="04A0" w:firstRow="1" w:lastRow="0" w:firstColumn="1" w:lastColumn="0" w:noHBand="0" w:noVBand="1"/>
      </w:tblPr>
      <w:tblGrid>
        <w:gridCol w:w="9350"/>
      </w:tblGrid>
      <w:tr w:rsidR="002E3D84" w14:paraId="7B1FA13A" w14:textId="77777777" w:rsidTr="002E3D84">
        <w:tc>
          <w:tcPr>
            <w:tcW w:w="9350" w:type="dxa"/>
          </w:tcPr>
          <w:p w14:paraId="4A4ED7EB" w14:textId="77777777" w:rsidR="002E3D84" w:rsidRDefault="002E3D84" w:rsidP="002E3D84">
            <w:pPr>
              <w:keepNext/>
            </w:pPr>
            <w:r>
              <w:rPr>
                <w:noProof/>
              </w:rPr>
              <w:drawing>
                <wp:inline distT="0" distB="0" distL="0" distR="0" wp14:anchorId="211CE5B0" wp14:editId="7BCC01FC">
                  <wp:extent cx="5887556" cy="2210435"/>
                  <wp:effectExtent l="0" t="0" r="0" b="0"/>
                  <wp:docPr id="13220128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12806" name="Picture 1322012806"/>
                          <pic:cNvPicPr/>
                        </pic:nvPicPr>
                        <pic:blipFill>
                          <a:blip r:embed="rId8">
                            <a:extLst>
                              <a:ext uri="{28A0092B-C50C-407E-A947-70E740481C1C}">
                                <a14:useLocalDpi xmlns:a14="http://schemas.microsoft.com/office/drawing/2010/main" val="0"/>
                              </a:ext>
                            </a:extLst>
                          </a:blip>
                          <a:stretch>
                            <a:fillRect/>
                          </a:stretch>
                        </pic:blipFill>
                        <pic:spPr>
                          <a:xfrm>
                            <a:off x="0" y="0"/>
                            <a:ext cx="5888620" cy="2210835"/>
                          </a:xfrm>
                          <a:prstGeom prst="rect">
                            <a:avLst/>
                          </a:prstGeom>
                        </pic:spPr>
                      </pic:pic>
                    </a:graphicData>
                  </a:graphic>
                </wp:inline>
              </w:drawing>
            </w:r>
          </w:p>
          <w:p w14:paraId="28AFCB86" w14:textId="03B09A42" w:rsidR="002E3D84" w:rsidRDefault="002E3D84" w:rsidP="002E3D84">
            <w:pPr>
              <w:pStyle w:val="Caption"/>
            </w:pPr>
            <w:r w:rsidRPr="002E3D84">
              <w:rPr>
                <w:sz w:val="24"/>
                <w:szCs w:val="24"/>
              </w:rPr>
              <w:t xml:space="preserve">Figure </w:t>
            </w:r>
            <w:r w:rsidRPr="002E3D84">
              <w:rPr>
                <w:sz w:val="24"/>
                <w:szCs w:val="24"/>
              </w:rPr>
              <w:fldChar w:fldCharType="begin"/>
            </w:r>
            <w:r w:rsidRPr="002E3D84">
              <w:rPr>
                <w:sz w:val="24"/>
                <w:szCs w:val="24"/>
              </w:rPr>
              <w:instrText xml:space="preserve"> SEQ Figure \* ARABIC </w:instrText>
            </w:r>
            <w:r w:rsidRPr="002E3D84">
              <w:rPr>
                <w:sz w:val="24"/>
                <w:szCs w:val="24"/>
              </w:rPr>
              <w:fldChar w:fldCharType="separate"/>
            </w:r>
            <w:r w:rsidR="004039D2">
              <w:rPr>
                <w:noProof/>
                <w:sz w:val="24"/>
                <w:szCs w:val="24"/>
              </w:rPr>
              <w:t>1</w:t>
            </w:r>
            <w:r w:rsidRPr="002E3D84">
              <w:rPr>
                <w:sz w:val="24"/>
                <w:szCs w:val="24"/>
              </w:rPr>
              <w:fldChar w:fldCharType="end"/>
            </w:r>
            <w:r w:rsidRPr="002E3D84">
              <w:rPr>
                <w:sz w:val="24"/>
                <w:szCs w:val="24"/>
              </w:rPr>
              <w:t xml:space="preserve"> </w:t>
            </w:r>
            <w:r w:rsidRPr="002E3D84">
              <w:rPr>
                <w:sz w:val="24"/>
                <w:szCs w:val="24"/>
              </w:rPr>
              <w:t>D</w:t>
            </w:r>
            <w:r w:rsidRPr="00AF62E4">
              <w:rPr>
                <w:sz w:val="20"/>
                <w:szCs w:val="20"/>
              </w:rPr>
              <w:t>iagram that illustrates the method for a binary adsorption, using the method described in Table 1.</w:t>
            </w:r>
          </w:p>
        </w:tc>
      </w:tr>
    </w:tbl>
    <w:p w14:paraId="7B8381DD" w14:textId="3F2A93E3" w:rsidR="00AF62E4" w:rsidRDefault="00AF62E4" w:rsidP="00AF62E4">
      <w:pPr>
        <w:keepNext/>
      </w:pPr>
    </w:p>
    <w:p w14:paraId="6D7F53D1" w14:textId="46534450" w:rsidR="00207DA8" w:rsidRDefault="00207DA8" w:rsidP="00207DA8">
      <w:pPr>
        <w:rPr>
          <w:rFonts w:eastAsiaTheme="minorHAnsi" w:cs="Times New Roman"/>
          <w:kern w:val="0"/>
          <w:lang w:eastAsia="en-US" w:bidi="ar-SA"/>
        </w:rPr>
      </w:pPr>
      <w:r w:rsidRPr="00207DA8">
        <w:rPr>
          <w:rFonts w:eastAsiaTheme="minorHAnsi" w:cs="Times New Roman"/>
          <w:kern w:val="0"/>
          <w:lang w:eastAsia="en-US" w:bidi="ar-SA"/>
        </w:rPr>
        <w:t xml:space="preserve">The data points are matched pairs in the binary experiment.  The abscissa </w:t>
      </w:r>
      <w:r w:rsidR="002E3D84">
        <w:rPr>
          <w:rFonts w:eastAsiaTheme="minorHAnsi" w:cs="Times New Roman"/>
          <w:kern w:val="0"/>
          <w:lang w:eastAsia="en-US" w:bidi="ar-SA"/>
        </w:rPr>
        <w:t xml:space="preserve">is χ of </w:t>
      </w:r>
      <w:r w:rsidRPr="00207DA8">
        <w:rPr>
          <w:rFonts w:eastAsiaTheme="minorHAnsi" w:cs="Times New Roman"/>
          <w:kern w:val="0"/>
          <w:lang w:eastAsia="en-US" w:bidi="ar-SA"/>
        </w:rPr>
        <w:t xml:space="preserve">A the </w:t>
      </w:r>
      <w:r w:rsidR="002E3D84">
        <w:rPr>
          <w:rFonts w:eastAsiaTheme="minorHAnsi" w:cs="Times New Roman"/>
          <w:kern w:val="0"/>
          <w:lang w:eastAsia="en-US" w:bidi="ar-SA"/>
        </w:rPr>
        <w:t xml:space="preserve">species with the </w:t>
      </w:r>
      <w:r w:rsidRPr="00207DA8">
        <w:rPr>
          <w:rFonts w:eastAsiaTheme="minorHAnsi" w:cs="Times New Roman"/>
          <w:kern w:val="0"/>
          <w:lang w:eastAsia="en-US" w:bidi="ar-SA"/>
        </w:rPr>
        <w:t>high</w:t>
      </w:r>
      <w:r w:rsidR="002E3D84">
        <w:rPr>
          <w:rFonts w:eastAsiaTheme="minorHAnsi" w:cs="Times New Roman"/>
          <w:kern w:val="0"/>
          <w:lang w:eastAsia="en-US" w:bidi="ar-SA"/>
        </w:rPr>
        <w:t xml:space="preserve">est value of </w:t>
      </w:r>
      <w:r w:rsidR="004039D2">
        <w:rPr>
          <w:rFonts w:eastAsiaTheme="minorHAnsi" w:cs="Times New Roman"/>
          <w:kern w:val="0"/>
          <w:lang w:eastAsia="en-US" w:bidi="ar-SA"/>
        </w:rPr>
        <w:t>-</w:t>
      </w:r>
      <w:r w:rsidR="002E3D84">
        <w:rPr>
          <w:rFonts w:eastAsiaTheme="minorHAnsi" w:cs="Times New Roman"/>
          <w:i/>
          <w:iCs/>
          <w:kern w:val="0"/>
          <w:lang w:eastAsia="en-US" w:bidi="ar-SA"/>
        </w:rPr>
        <w:t>E</w:t>
      </w:r>
      <w:r w:rsidR="002E3D84">
        <w:rPr>
          <w:rFonts w:eastAsiaTheme="minorHAnsi" w:cs="Times New Roman"/>
          <w:kern w:val="0"/>
          <w:vertAlign w:val="subscript"/>
          <w:lang w:eastAsia="en-US" w:bidi="ar-SA"/>
        </w:rPr>
        <w:t>a</w:t>
      </w:r>
      <w:r w:rsidR="002E3D84">
        <w:rPr>
          <w:rFonts w:eastAsiaTheme="minorHAnsi" w:cs="Times New Roman"/>
          <w:kern w:val="0"/>
          <w:lang w:eastAsia="en-US" w:bidi="ar-SA"/>
        </w:rPr>
        <w:t>/</w:t>
      </w:r>
      <w:r w:rsidR="002E3D84">
        <w:rPr>
          <w:rFonts w:eastAsiaTheme="minorHAnsi" w:cs="Times New Roman"/>
          <w:i/>
          <w:iCs/>
          <w:kern w:val="0"/>
          <w:lang w:eastAsia="en-US" w:bidi="ar-SA"/>
        </w:rPr>
        <w:t>RT</w:t>
      </w:r>
      <w:r w:rsidRPr="00207DA8">
        <w:rPr>
          <w:rFonts w:eastAsiaTheme="minorHAnsi" w:cs="Times New Roman"/>
          <w:kern w:val="0"/>
          <w:lang w:eastAsia="en-US" w:bidi="ar-SA"/>
        </w:rPr>
        <w:t xml:space="preserve">.   The low </w:t>
      </w:r>
      <w:r w:rsidR="004039D2">
        <w:rPr>
          <w:rFonts w:eastAsiaTheme="minorHAnsi" w:cs="Times New Roman"/>
          <w:kern w:val="0"/>
          <w:lang w:eastAsia="en-US" w:bidi="ar-SA"/>
        </w:rPr>
        <w:t>-</w:t>
      </w:r>
      <w:r w:rsidR="002E3D84">
        <w:rPr>
          <w:rFonts w:eastAsiaTheme="minorHAnsi" w:cs="Times New Roman"/>
          <w:i/>
          <w:iCs/>
          <w:kern w:val="0"/>
          <w:lang w:eastAsia="en-US" w:bidi="ar-SA"/>
        </w:rPr>
        <w:t>E</w:t>
      </w:r>
      <w:r w:rsidR="002E3D84">
        <w:rPr>
          <w:rFonts w:eastAsiaTheme="minorHAnsi" w:cs="Times New Roman"/>
          <w:kern w:val="0"/>
          <w:vertAlign w:val="subscript"/>
          <w:lang w:eastAsia="en-US" w:bidi="ar-SA"/>
        </w:rPr>
        <w:t>a</w:t>
      </w:r>
      <w:r w:rsidR="002E3D84">
        <w:rPr>
          <w:rFonts w:eastAsiaTheme="minorHAnsi" w:cs="Times New Roman"/>
          <w:kern w:val="0"/>
          <w:lang w:eastAsia="en-US" w:bidi="ar-SA"/>
        </w:rPr>
        <w:t>/</w:t>
      </w:r>
      <w:r w:rsidR="002E3D84">
        <w:rPr>
          <w:rFonts w:eastAsiaTheme="minorHAnsi" w:cs="Times New Roman"/>
          <w:i/>
          <w:iCs/>
          <w:kern w:val="0"/>
          <w:lang w:eastAsia="en-US" w:bidi="ar-SA"/>
        </w:rPr>
        <w:t>RT</w:t>
      </w:r>
      <w:r w:rsidRPr="00207DA8">
        <w:rPr>
          <w:rFonts w:eastAsiaTheme="minorHAnsi" w:cs="Times New Roman"/>
          <w:kern w:val="0"/>
          <w:lang w:eastAsia="en-US" w:bidi="ar-SA"/>
        </w:rPr>
        <w:t xml:space="preserve">, B, </w:t>
      </w:r>
      <w:r w:rsidR="002E3D84">
        <w:rPr>
          <w:rFonts w:eastAsiaTheme="minorHAnsi" w:cs="Times New Roman"/>
          <w:kern w:val="0"/>
          <w:lang w:eastAsia="en-US" w:bidi="ar-SA"/>
        </w:rPr>
        <w:t xml:space="preserve">as the abscissa </w:t>
      </w:r>
      <w:r w:rsidRPr="00207DA8">
        <w:rPr>
          <w:rFonts w:eastAsiaTheme="minorHAnsi" w:cs="Times New Roman"/>
          <w:kern w:val="0"/>
          <w:lang w:eastAsia="en-US" w:bidi="ar-SA"/>
        </w:rPr>
        <w:t xml:space="preserve">does not yield a straight line.  (This </w:t>
      </w:r>
      <w:r w:rsidR="002E3D84">
        <w:rPr>
          <w:rFonts w:eastAsiaTheme="minorHAnsi" w:cs="Times New Roman"/>
          <w:kern w:val="0"/>
          <w:lang w:eastAsia="en-US" w:bidi="ar-SA"/>
        </w:rPr>
        <w:t xml:space="preserve">phenomenon </w:t>
      </w:r>
      <w:r w:rsidRPr="00207DA8">
        <w:rPr>
          <w:rFonts w:eastAsiaTheme="minorHAnsi" w:cs="Times New Roman"/>
          <w:kern w:val="0"/>
          <w:lang w:eastAsia="en-US" w:bidi="ar-SA"/>
        </w:rPr>
        <w:t>is referred to as the “strong Henry’s law” species in classical calculations.</w:t>
      </w:r>
      <w:r w:rsidR="00EF3B21">
        <w:rPr>
          <w:rStyle w:val="EndnoteReference"/>
          <w:rFonts w:eastAsiaTheme="minorHAnsi" w:cs="Times New Roman"/>
          <w:kern w:val="0"/>
          <w:lang w:eastAsia="en-US" w:bidi="ar-SA"/>
        </w:rPr>
        <w:endnoteReference w:id="2"/>
      </w:r>
      <w:r w:rsidRPr="00207DA8">
        <w:rPr>
          <w:rFonts w:eastAsiaTheme="minorHAnsi" w:cs="Times New Roman"/>
          <w:kern w:val="0"/>
          <w:lang w:eastAsia="en-US" w:bidi="ar-SA"/>
        </w:rPr>
        <w:t>)</w:t>
      </w:r>
    </w:p>
    <w:p w14:paraId="15032E7B" w14:textId="77777777" w:rsidR="00207DA8" w:rsidRDefault="00207DA8" w:rsidP="00207DA8">
      <w:pPr>
        <w:rPr>
          <w:rFonts w:eastAsiaTheme="minorHAnsi" w:cs="Times New Roman"/>
          <w:kern w:val="0"/>
          <w:lang w:eastAsia="en-US" w:bidi="ar-SA"/>
        </w:rPr>
      </w:pPr>
    </w:p>
    <w:p w14:paraId="3D765EFE" w14:textId="02D1B390" w:rsidR="00207DA8" w:rsidRDefault="00207DA8" w:rsidP="00207DA8">
      <w:pPr>
        <w:rPr>
          <w:rFonts w:eastAsiaTheme="minorHAnsi" w:cs="Times New Roman"/>
          <w:b/>
          <w:bCs/>
          <w:kern w:val="0"/>
          <w:lang w:eastAsia="en-US" w:bidi="ar-SA"/>
        </w:rPr>
      </w:pPr>
      <w:r>
        <w:rPr>
          <w:rFonts w:eastAsiaTheme="minorHAnsi" w:cs="Times New Roman"/>
          <w:b/>
          <w:bCs/>
          <w:kern w:val="0"/>
          <w:lang w:eastAsia="en-US" w:bidi="ar-SA"/>
        </w:rPr>
        <w:t>Examples:</w:t>
      </w:r>
    </w:p>
    <w:p w14:paraId="41CDF90F" w14:textId="77777777" w:rsidR="00F5636D" w:rsidRDefault="00F5636D" w:rsidP="00207DA8">
      <w:pPr>
        <w:rPr>
          <w:rFonts w:eastAsiaTheme="minorHAnsi" w:cs="Times New Roman"/>
          <w:b/>
          <w:bCs/>
          <w:kern w:val="0"/>
          <w:lang w:eastAsia="en-US" w:bidi="ar-SA"/>
        </w:rPr>
      </w:pPr>
    </w:p>
    <w:p w14:paraId="66516FAC" w14:textId="455A0651" w:rsidR="0087693B" w:rsidRDefault="00F5636D" w:rsidP="00680526">
      <w:r w:rsidRPr="00F5636D">
        <w:rPr>
          <w:rFonts w:eastAsiaTheme="minorHAnsi" w:cs="Times New Roman"/>
          <w:kern w:val="0"/>
          <w:lang w:eastAsia="en-US" w:bidi="ar-SA"/>
        </w:rPr>
        <w:t>The data being analyzed is by Danner and Wenzl</w:t>
      </w:r>
      <w:r>
        <w:rPr>
          <w:rStyle w:val="EndnoteReference"/>
          <w:rFonts w:eastAsiaTheme="minorHAnsi" w:cs="Times New Roman"/>
          <w:kern w:val="0"/>
          <w:lang w:eastAsia="en-US" w:bidi="ar-SA"/>
        </w:rPr>
        <w:endnoteReference w:id="3"/>
      </w:r>
      <w:r>
        <w:rPr>
          <w:rFonts w:eastAsiaTheme="minorHAnsi" w:cs="Times New Roman"/>
          <w:kern w:val="0"/>
          <w:lang w:eastAsia="en-US" w:bidi="ar-SA"/>
        </w:rPr>
        <w:t xml:space="preserve"> for the gases CO, N</w:t>
      </w:r>
      <w:r>
        <w:rPr>
          <w:rFonts w:eastAsiaTheme="minorHAnsi" w:cs="Times New Roman"/>
          <w:kern w:val="0"/>
          <w:vertAlign w:val="subscript"/>
          <w:lang w:eastAsia="en-US" w:bidi="ar-SA"/>
        </w:rPr>
        <w:t>2</w:t>
      </w:r>
      <w:r>
        <w:rPr>
          <w:rFonts w:eastAsiaTheme="minorHAnsi" w:cs="Times New Roman"/>
          <w:kern w:val="0"/>
          <w:lang w:eastAsia="en-US" w:bidi="ar-SA"/>
        </w:rPr>
        <w:t xml:space="preserve"> and O</w:t>
      </w:r>
      <w:r>
        <w:rPr>
          <w:rFonts w:eastAsiaTheme="minorHAnsi" w:cs="Times New Roman"/>
          <w:kern w:val="0"/>
          <w:vertAlign w:val="subscript"/>
          <w:lang w:eastAsia="en-US" w:bidi="ar-SA"/>
        </w:rPr>
        <w:t>2</w:t>
      </w:r>
      <w:r>
        <w:t xml:space="preserve"> on 5A and 10X zeolite.</w:t>
      </w:r>
      <w:r w:rsidR="00FD3B49">
        <w:t xml:space="preserve"> The temperature was 144.3 K.  The </w:t>
      </w:r>
      <w:r w:rsidR="00FD3B49">
        <w:rPr>
          <w:i/>
          <w:iCs/>
        </w:rPr>
        <w:t>P</w:t>
      </w:r>
      <w:r w:rsidR="00FD3B49">
        <w:rPr>
          <w:vertAlign w:val="subscript"/>
        </w:rPr>
        <w:t>vap</w:t>
      </w:r>
      <w:r w:rsidR="00FD3B49">
        <w:t xml:space="preserve"> was calculated from data by </w:t>
      </w:r>
      <w:r w:rsidR="00FD3B49" w:rsidRPr="00FD3B49">
        <w:t>Clayton and Giauque</w:t>
      </w:r>
      <w:r w:rsidR="00FD3B49">
        <w:rPr>
          <w:rStyle w:val="EndnoteReference"/>
        </w:rPr>
        <w:endnoteReference w:id="4"/>
      </w:r>
      <w:r w:rsidR="00FD3B49" w:rsidRPr="00FD3B49">
        <w:t xml:space="preserve"> </w:t>
      </w:r>
      <w:r w:rsidR="00FD3B49">
        <w:t>for O</w:t>
      </w:r>
      <w:r w:rsidR="00FD3B49">
        <w:rPr>
          <w:vertAlign w:val="subscript"/>
        </w:rPr>
        <w:t>2</w:t>
      </w:r>
      <w:r w:rsidR="00FD3B49">
        <w:t xml:space="preserve"> and CO and extrapolation of the Dortm</w:t>
      </w:r>
      <w:r w:rsidR="00DE5AB1">
        <w:t>u</w:t>
      </w:r>
      <w:r w:rsidR="00FD3B49">
        <w:t>n</w:t>
      </w:r>
      <w:r w:rsidR="00DE5AB1">
        <w:t>d data base</w:t>
      </w:r>
      <w:r w:rsidR="001856E9">
        <w:rPr>
          <w:rStyle w:val="EndnoteReference"/>
        </w:rPr>
        <w:endnoteReference w:id="5"/>
      </w:r>
      <w:r w:rsidR="00DE5AB1">
        <w:t xml:space="preserve"> compilation for N</w:t>
      </w:r>
      <w:r w:rsidR="00DE5AB1">
        <w:rPr>
          <w:vertAlign w:val="subscript"/>
        </w:rPr>
        <w:t>2</w:t>
      </w:r>
      <w:r w:rsidR="00DE5AB1">
        <w:t>.</w:t>
      </w:r>
      <w:r w:rsidR="00CF3C6E">
        <w:t xml:space="preserve">  There may be some error is these data, but the Dortmund data base seems quite self</w:t>
      </w:r>
      <w:r w:rsidR="00E75D01">
        <w:t>-</w:t>
      </w:r>
      <w:r w:rsidR="00CF3C6E">
        <w:t>consistent.</w:t>
      </w:r>
    </w:p>
    <w:p w14:paraId="2E21ACA6" w14:textId="77777777" w:rsidR="00AF62E4" w:rsidRDefault="00AF62E4" w:rsidP="00680526"/>
    <w:p w14:paraId="6C67B0E9" w14:textId="77777777" w:rsidR="001856E9" w:rsidRDefault="001856E9" w:rsidP="00680526"/>
    <w:p w14:paraId="104EE3BE" w14:textId="4530D57C" w:rsidR="001856E9" w:rsidRPr="001856E9" w:rsidRDefault="001856E9" w:rsidP="00680526">
      <w:pPr>
        <w:rPr>
          <w:rFonts w:cs="Times New Roman"/>
        </w:rPr>
      </w:pPr>
      <w:r w:rsidRPr="001856E9">
        <w:rPr>
          <w:rFonts w:cs="Times New Roman"/>
          <w:lang w:val="en-CA"/>
        </w:rPr>
        <w:fldChar w:fldCharType="begin"/>
      </w:r>
      <w:r w:rsidRPr="001856E9">
        <w:rPr>
          <w:rFonts w:cs="Times New Roman"/>
          <w:lang w:val="en-CA"/>
        </w:rPr>
        <w:instrText xml:space="preserve"> SEQ CHAPTER \h \r 1</w:instrText>
      </w:r>
      <w:r w:rsidRPr="001856E9">
        <w:rPr>
          <w:rFonts w:cs="Times New Roman"/>
          <w:lang w:val="en-CA"/>
        </w:rPr>
        <w:fldChar w:fldCharType="end"/>
      </w:r>
      <w:r w:rsidRPr="001856E9">
        <w:rPr>
          <w:rFonts w:cs="Times New Roman"/>
          <w:lang w:val="en-CA"/>
        </w:rPr>
        <w:fldChar w:fldCharType="begin"/>
      </w:r>
      <w:r w:rsidRPr="001856E9">
        <w:rPr>
          <w:rFonts w:cs="Times New Roman"/>
          <w:lang w:val="en-CA"/>
        </w:rPr>
        <w:instrText xml:space="preserve"> SEQ CHAPTER \h \r 1</w:instrText>
      </w:r>
      <w:r w:rsidRPr="001856E9">
        <w:rPr>
          <w:rFonts w:cs="Times New Roman"/>
          <w:lang w:val="en-CA"/>
        </w:rPr>
        <w:fldChar w:fldCharType="end"/>
      </w:r>
      <w:r w:rsidRPr="001856E9">
        <w:rPr>
          <w:rFonts w:cs="Times New Roman"/>
        </w:rPr>
        <w:t xml:space="preserve">The </w:t>
      </w:r>
      <w:r w:rsidRPr="001856E9">
        <w:rPr>
          <w:rFonts w:ascii="Segoe UI Symbol" w:hAnsi="Segoe UI Symbol" w:cs="Segoe UI Symbol"/>
        </w:rPr>
        <w:t>✕</w:t>
      </w:r>
      <w:r w:rsidRPr="001856E9">
        <w:rPr>
          <w:rFonts w:cs="Times New Roman"/>
        </w:rPr>
        <w:t xml:space="preserve">s and </w:t>
      </w:r>
      <w:r w:rsidRPr="00B76BAF">
        <w:rPr>
          <w:rFonts w:cs="Times New Roman"/>
          <w:b/>
          <w:bCs/>
        </w:rPr>
        <w:t>+</w:t>
      </w:r>
      <w:r w:rsidRPr="001856E9">
        <w:rPr>
          <w:rFonts w:cs="Times New Roman"/>
        </w:rPr>
        <w:t>s are the data</w:t>
      </w:r>
      <w:r>
        <w:rPr>
          <w:rFonts w:cs="Times New Roman"/>
        </w:rPr>
        <w:t xml:space="preserve"> and</w:t>
      </w:r>
      <w:r w:rsidRPr="001856E9">
        <w:rPr>
          <w:rFonts w:cs="Times New Roman"/>
        </w:rPr>
        <w:t xml:space="preserve"> black lines are least squares fit</w:t>
      </w:r>
      <w:r>
        <w:rPr>
          <w:rFonts w:cs="Times New Roman"/>
        </w:rPr>
        <w:t>. T</w:t>
      </w:r>
      <w:r w:rsidRPr="001856E9">
        <w:rPr>
          <w:rFonts w:cs="Times New Roman"/>
        </w:rPr>
        <w:t xml:space="preserve">he </w:t>
      </w:r>
      <w:r>
        <w:rPr>
          <w:rFonts w:cs="Times New Roman"/>
        </w:rPr>
        <w:t>dashed</w:t>
      </w:r>
      <w:r w:rsidRPr="001856E9">
        <w:rPr>
          <w:rFonts w:cs="Times New Roman"/>
        </w:rPr>
        <w:t xml:space="preserve"> lines are the χ-plot modeling.</w:t>
      </w:r>
    </w:p>
    <w:tbl>
      <w:tblPr>
        <w:tblStyle w:val="TableGrid"/>
        <w:tblW w:w="0" w:type="auto"/>
        <w:tblLook w:val="04A0" w:firstRow="1" w:lastRow="0" w:firstColumn="1" w:lastColumn="0" w:noHBand="0" w:noVBand="1"/>
      </w:tblPr>
      <w:tblGrid>
        <w:gridCol w:w="9350"/>
      </w:tblGrid>
      <w:tr w:rsidR="00B76BAF" w14:paraId="139D5BE4" w14:textId="77777777" w:rsidTr="00B76BAF">
        <w:tc>
          <w:tcPr>
            <w:tcW w:w="9350" w:type="dxa"/>
          </w:tcPr>
          <w:p w14:paraId="640A6551" w14:textId="77777777" w:rsidR="00B76BAF" w:rsidRDefault="00B76BAF" w:rsidP="00B76BAF">
            <w:pPr>
              <w:keepNext/>
            </w:pPr>
            <w:r>
              <w:rPr>
                <w:noProof/>
              </w:rPr>
              <w:drawing>
                <wp:inline distT="0" distB="0" distL="0" distR="0" wp14:anchorId="03F73F97" wp14:editId="434FA232">
                  <wp:extent cx="5827594" cy="1523352"/>
                  <wp:effectExtent l="0" t="0" r="1905" b="1270"/>
                  <wp:docPr id="60016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61447"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856278" cy="1530850"/>
                          </a:xfrm>
                          <a:prstGeom prst="rect">
                            <a:avLst/>
                          </a:prstGeom>
                        </pic:spPr>
                      </pic:pic>
                    </a:graphicData>
                  </a:graphic>
                </wp:inline>
              </w:drawing>
            </w:r>
          </w:p>
          <w:p w14:paraId="3843944F" w14:textId="00A48793" w:rsidR="00B76BAF" w:rsidRPr="00B76BAF" w:rsidRDefault="00B76BAF" w:rsidP="00B76BAF">
            <w:pPr>
              <w:pStyle w:val="Caption"/>
            </w:pPr>
            <w:r>
              <w:t xml:space="preserve">Figure </w:t>
            </w:r>
            <w:fldSimple w:instr=" SEQ Figure \* ARABIC ">
              <w:r w:rsidR="004039D2">
                <w:rPr>
                  <w:noProof/>
                </w:rPr>
                <w:t>2</w:t>
              </w:r>
            </w:fldSimple>
            <w:r>
              <w:t xml:space="preserve">  The Δχ binary plot of the binaries </w:t>
            </w:r>
            <w:r w:rsidRPr="00B76BAF">
              <w:t>CO-N</w:t>
            </w:r>
            <w:r w:rsidRPr="00B76BAF">
              <w:rPr>
                <w:vertAlign w:val="subscript"/>
              </w:rPr>
              <w:t>2</w:t>
            </w:r>
            <w:r w:rsidRPr="00B76BAF">
              <w:t>, N</w:t>
            </w:r>
            <w:r w:rsidRPr="00B76BAF">
              <w:rPr>
                <w:vertAlign w:val="subscript"/>
              </w:rPr>
              <w:t>2</w:t>
            </w:r>
            <w:r w:rsidRPr="00B76BAF">
              <w:t>-O</w:t>
            </w:r>
            <w:r w:rsidRPr="00B76BAF">
              <w:rPr>
                <w:vertAlign w:val="subscript"/>
              </w:rPr>
              <w:t>2</w:t>
            </w:r>
            <w:r w:rsidRPr="00B76BAF">
              <w:t xml:space="preserve"> and CO-O</w:t>
            </w:r>
            <w:r w:rsidRPr="00B76BAF">
              <w:rPr>
                <w:vertAlign w:val="subscript"/>
              </w:rPr>
              <w:t>2</w:t>
            </w:r>
            <w:r>
              <w:t xml:space="preserve"> on 5A zeolite.</w:t>
            </w:r>
          </w:p>
        </w:tc>
      </w:tr>
    </w:tbl>
    <w:p w14:paraId="41D5E260" w14:textId="3940AC8F" w:rsidR="00CF3C6E" w:rsidRDefault="00B76BAF" w:rsidP="00680526">
      <w:r>
        <w:t>From the</w:t>
      </w:r>
      <w:r w:rsidR="008B19C2">
        <w:t xml:space="preserve"> calculate lines the conventional phase diagram</w:t>
      </w:r>
      <w:r>
        <w:t xml:space="preserve"> </w:t>
      </w:r>
      <w:r w:rsidR="008B19C2">
        <w:t>can be formed:</w:t>
      </w:r>
    </w:p>
    <w:p w14:paraId="10935499" w14:textId="77777777" w:rsidR="008B19C2" w:rsidRDefault="008B19C2" w:rsidP="00680526"/>
    <w:tbl>
      <w:tblPr>
        <w:tblStyle w:val="TableGrid"/>
        <w:tblW w:w="0" w:type="auto"/>
        <w:tblLook w:val="04A0" w:firstRow="1" w:lastRow="0" w:firstColumn="1" w:lastColumn="0" w:noHBand="0" w:noVBand="1"/>
      </w:tblPr>
      <w:tblGrid>
        <w:gridCol w:w="9350"/>
      </w:tblGrid>
      <w:tr w:rsidR="008B19C2" w14:paraId="7DCA48DC" w14:textId="77777777" w:rsidTr="008B19C2">
        <w:tc>
          <w:tcPr>
            <w:tcW w:w="9350" w:type="dxa"/>
          </w:tcPr>
          <w:p w14:paraId="19040F8E" w14:textId="77777777" w:rsidR="00782513" w:rsidRDefault="00782513" w:rsidP="00782513">
            <w:pPr>
              <w:keepNext/>
            </w:pPr>
            <w:r>
              <w:rPr>
                <w:noProof/>
              </w:rPr>
              <w:lastRenderedPageBreak/>
              <w:drawing>
                <wp:inline distT="0" distB="0" distL="0" distR="0" wp14:anchorId="49E255FE" wp14:editId="21E63388">
                  <wp:extent cx="5841241" cy="1334679"/>
                  <wp:effectExtent l="0" t="0" r="7620" b="0"/>
                  <wp:docPr id="1231156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56813"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878356" cy="1343159"/>
                          </a:xfrm>
                          <a:prstGeom prst="rect">
                            <a:avLst/>
                          </a:prstGeom>
                        </pic:spPr>
                      </pic:pic>
                    </a:graphicData>
                  </a:graphic>
                </wp:inline>
              </w:drawing>
            </w:r>
          </w:p>
          <w:p w14:paraId="2A6EF56E" w14:textId="535BC7EB" w:rsidR="008B19C2" w:rsidRDefault="00782513" w:rsidP="00782513">
            <w:pPr>
              <w:pStyle w:val="Caption"/>
            </w:pPr>
            <w:r>
              <w:t xml:space="preserve">Figure </w:t>
            </w:r>
            <w:fldSimple w:instr=" SEQ Figure \* ARABIC ">
              <w:r w:rsidR="004039D2">
                <w:rPr>
                  <w:noProof/>
                </w:rPr>
                <w:t>3</w:t>
              </w:r>
            </w:fldSimple>
            <w:r>
              <w:t xml:space="preserve">  The binary phase diagrams formed from the Δχ plots of the binaries </w:t>
            </w:r>
            <w:r w:rsidRPr="00B76BAF">
              <w:t>CO-N</w:t>
            </w:r>
            <w:r w:rsidRPr="00B76BAF">
              <w:rPr>
                <w:vertAlign w:val="subscript"/>
              </w:rPr>
              <w:t>2</w:t>
            </w:r>
            <w:r w:rsidRPr="00B76BAF">
              <w:t>, N</w:t>
            </w:r>
            <w:r w:rsidRPr="00B76BAF">
              <w:rPr>
                <w:vertAlign w:val="subscript"/>
              </w:rPr>
              <w:t>2</w:t>
            </w:r>
            <w:r w:rsidRPr="00B76BAF">
              <w:t>-O</w:t>
            </w:r>
            <w:r w:rsidRPr="00B76BAF">
              <w:rPr>
                <w:vertAlign w:val="subscript"/>
              </w:rPr>
              <w:t>2</w:t>
            </w:r>
            <w:r w:rsidRPr="00B76BAF">
              <w:t xml:space="preserve"> and CO-O</w:t>
            </w:r>
            <w:r w:rsidRPr="00B76BAF">
              <w:rPr>
                <w:vertAlign w:val="subscript"/>
              </w:rPr>
              <w:t>2</w:t>
            </w:r>
            <w:r>
              <w:t xml:space="preserve"> on 5A zeolite.</w:t>
            </w:r>
            <w:r w:rsidR="00570519">
              <w:t xml:space="preserve"> Data is by Danner and Wenzl.</w:t>
            </w:r>
          </w:p>
        </w:tc>
      </w:tr>
    </w:tbl>
    <w:p w14:paraId="59F26509" w14:textId="77777777" w:rsidR="004D7626" w:rsidRDefault="004D7626" w:rsidP="00680526"/>
    <w:p w14:paraId="3B97B468" w14:textId="77777777" w:rsidR="00575252" w:rsidRDefault="00575252" w:rsidP="00680526"/>
    <w:p w14:paraId="35978DA0" w14:textId="66112A7C" w:rsidR="008B19C2" w:rsidRDefault="00782513" w:rsidP="00680526">
      <w:r>
        <w:t>Two of these calculations seem very good but the CO-O</w:t>
      </w:r>
      <w:r>
        <w:rPr>
          <w:vertAlign w:val="subscript"/>
        </w:rPr>
        <w:t>2</w:t>
      </w:r>
      <w:r>
        <w:t xml:space="preserve"> diagram is quite a bit out of line.  However, both the data and the fit are very different from the binary mixtures in the bulk liquid.</w:t>
      </w:r>
    </w:p>
    <w:p w14:paraId="18DD67F6" w14:textId="76DB84A6" w:rsidR="009312DA" w:rsidRDefault="009312DA" w:rsidP="00680526">
      <w:r>
        <w:t>The following are the similar graphs for 10X zeolite:</w:t>
      </w:r>
    </w:p>
    <w:tbl>
      <w:tblPr>
        <w:tblStyle w:val="TableGrid"/>
        <w:tblW w:w="0" w:type="auto"/>
        <w:tblLook w:val="04A0" w:firstRow="1" w:lastRow="0" w:firstColumn="1" w:lastColumn="0" w:noHBand="0" w:noVBand="1"/>
      </w:tblPr>
      <w:tblGrid>
        <w:gridCol w:w="9350"/>
      </w:tblGrid>
      <w:tr w:rsidR="009312DA" w14:paraId="51D0DD70" w14:textId="77777777" w:rsidTr="009312DA">
        <w:tc>
          <w:tcPr>
            <w:tcW w:w="9350" w:type="dxa"/>
          </w:tcPr>
          <w:p w14:paraId="4A24A076" w14:textId="77777777" w:rsidR="00570519" w:rsidRDefault="00570519" w:rsidP="00570519">
            <w:pPr>
              <w:keepNext/>
            </w:pPr>
            <w:r>
              <w:rPr>
                <w:noProof/>
              </w:rPr>
              <w:drawing>
                <wp:inline distT="0" distB="0" distL="0" distR="0" wp14:anchorId="797F2DF6" wp14:editId="0D3803EA">
                  <wp:extent cx="5943600" cy="2927985"/>
                  <wp:effectExtent l="0" t="0" r="0" b="5715"/>
                  <wp:docPr id="1615754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54536" name="Picture 1615754536"/>
                          <pic:cNvPicPr/>
                        </pic:nvPicPr>
                        <pic:blipFill>
                          <a:blip r:embed="rId11">
                            <a:extLst>
                              <a:ext uri="{28A0092B-C50C-407E-A947-70E740481C1C}">
                                <a14:useLocalDpi xmlns:a14="http://schemas.microsoft.com/office/drawing/2010/main" val="0"/>
                              </a:ext>
                            </a:extLst>
                          </a:blip>
                          <a:stretch>
                            <a:fillRect/>
                          </a:stretch>
                        </pic:blipFill>
                        <pic:spPr>
                          <a:xfrm>
                            <a:off x="0" y="0"/>
                            <a:ext cx="5943600" cy="2927985"/>
                          </a:xfrm>
                          <a:prstGeom prst="rect">
                            <a:avLst/>
                          </a:prstGeom>
                        </pic:spPr>
                      </pic:pic>
                    </a:graphicData>
                  </a:graphic>
                </wp:inline>
              </w:drawing>
            </w:r>
          </w:p>
          <w:p w14:paraId="5C660B6B" w14:textId="6905FEA0" w:rsidR="009312DA" w:rsidRDefault="00570519" w:rsidP="00570519">
            <w:pPr>
              <w:pStyle w:val="Caption"/>
            </w:pPr>
            <w:r>
              <w:t xml:space="preserve">Figure </w:t>
            </w:r>
            <w:fldSimple w:instr=" SEQ Figure \* ARABIC ">
              <w:r w:rsidR="004039D2">
                <w:rPr>
                  <w:noProof/>
                </w:rPr>
                <w:t>4</w:t>
              </w:r>
            </w:fldSimple>
            <w:r>
              <w:t xml:space="preserve">  The binary Δχ plots and the binary adsorption phase diagram from the data by Danner and Wenzl of </w:t>
            </w:r>
            <w:r w:rsidRPr="00B76BAF">
              <w:t>CO-N</w:t>
            </w:r>
            <w:r w:rsidRPr="00B76BAF">
              <w:rPr>
                <w:vertAlign w:val="subscript"/>
              </w:rPr>
              <w:t>2</w:t>
            </w:r>
            <w:r w:rsidRPr="00B76BAF">
              <w:t>, N</w:t>
            </w:r>
            <w:r w:rsidRPr="00B76BAF">
              <w:rPr>
                <w:vertAlign w:val="subscript"/>
              </w:rPr>
              <w:t>2</w:t>
            </w:r>
            <w:r w:rsidRPr="00B76BAF">
              <w:t>-O</w:t>
            </w:r>
            <w:r w:rsidRPr="00B76BAF">
              <w:rPr>
                <w:vertAlign w:val="subscript"/>
              </w:rPr>
              <w:t>2</w:t>
            </w:r>
            <w:r w:rsidRPr="00B76BAF">
              <w:t xml:space="preserve"> and CO-O</w:t>
            </w:r>
            <w:r w:rsidRPr="00B76BAF">
              <w:rPr>
                <w:vertAlign w:val="subscript"/>
              </w:rPr>
              <w:t>2</w:t>
            </w:r>
            <w:r>
              <w:t xml:space="preserve"> mixtures on 10X zeolite.</w:t>
            </w:r>
          </w:p>
        </w:tc>
      </w:tr>
    </w:tbl>
    <w:p w14:paraId="02917DA4" w14:textId="77777777" w:rsidR="00D96756" w:rsidRDefault="00D96756" w:rsidP="00680526"/>
    <w:p w14:paraId="707A4402" w14:textId="40CCD730" w:rsidR="00782513" w:rsidRDefault="00570519" w:rsidP="00680526">
      <w:r>
        <w:t xml:space="preserve">The 10X is a little better than the 5A.  Both however are not as accurate as one would like them to be.  </w:t>
      </w:r>
      <w:r w:rsidR="00D96756">
        <w:t>They are certainly good enough to determine if the combinations are suitable for further study.</w:t>
      </w:r>
    </w:p>
    <w:p w14:paraId="7A9B12BA" w14:textId="77777777" w:rsidR="00782513" w:rsidRPr="00782513" w:rsidRDefault="00782513" w:rsidP="00680526"/>
    <w:p w14:paraId="36D16FBD" w14:textId="005A3EAA" w:rsidR="00CF3C6E" w:rsidRPr="00234890" w:rsidRDefault="00234890" w:rsidP="00680526">
      <w:pPr>
        <w:rPr>
          <w:b/>
          <w:bCs/>
        </w:rPr>
      </w:pPr>
      <w:r w:rsidRPr="00234890">
        <w:rPr>
          <w:b/>
          <w:bCs/>
        </w:rPr>
        <w:t>Conclusion</w:t>
      </w:r>
      <w:r>
        <w:rPr>
          <w:b/>
          <w:bCs/>
        </w:rPr>
        <w:t xml:space="preserve"> – binary adsorption</w:t>
      </w:r>
    </w:p>
    <w:p w14:paraId="423C68A3" w14:textId="594E6AAB" w:rsidR="00FD3B49" w:rsidRDefault="00FD3B49" w:rsidP="00680526"/>
    <w:p w14:paraId="32481E89" w14:textId="095925D3" w:rsidR="00FD3B49" w:rsidRDefault="00234890" w:rsidP="00680526">
      <w:r>
        <w:t xml:space="preserve">It was demonstrated in this section that the calculation of the binary adsorption isotherms from the individual isotherm outputs is probably possible.  Hardly any binary isotherm is ideal and in real situations the adsorption will need to take into consideration the binary bulk isotherm.  Thus, the first layer will be solved using the isotherm output parameters and the subsequent layers will probably require the information from the bulk liquid diagrams. At any rate by taking into </w:t>
      </w:r>
      <w:r>
        <w:lastRenderedPageBreak/>
        <w:t>account the quantum nature of adsorption seems to be a step forward and much work is yet to be performed.</w:t>
      </w:r>
    </w:p>
    <w:p w14:paraId="146DF8FD" w14:textId="77777777" w:rsidR="00FD3B49" w:rsidRPr="00F5636D" w:rsidRDefault="00FD3B49" w:rsidP="00680526"/>
    <w:sectPr w:rsidR="00FD3B49" w:rsidRPr="00F5636D">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DB9E" w14:textId="77777777" w:rsidR="00A23797" w:rsidRDefault="00A23797" w:rsidP="00F5636D">
      <w:r>
        <w:separator/>
      </w:r>
    </w:p>
  </w:endnote>
  <w:endnote w:type="continuationSeparator" w:id="0">
    <w:p w14:paraId="0FA43B48" w14:textId="77777777" w:rsidR="00A23797" w:rsidRDefault="00A23797" w:rsidP="00F5636D">
      <w:r>
        <w:continuationSeparator/>
      </w:r>
    </w:p>
  </w:endnote>
  <w:endnote w:id="1">
    <w:p w14:paraId="7B08D492" w14:textId="543F92A2" w:rsidR="00C077E5" w:rsidRPr="004E216B" w:rsidRDefault="00C077E5">
      <w:pPr>
        <w:pStyle w:val="EndnoteText"/>
        <w:rPr>
          <w:sz w:val="24"/>
          <w:szCs w:val="24"/>
        </w:rPr>
      </w:pPr>
      <w:r>
        <w:rPr>
          <w:rStyle w:val="EndnoteReference"/>
        </w:rPr>
        <w:endnoteRef/>
      </w:r>
      <w:r>
        <w:t xml:space="preserve"> </w:t>
      </w:r>
      <w:r w:rsidRPr="004E216B">
        <w:rPr>
          <w:sz w:val="24"/>
          <w:szCs w:val="24"/>
        </w:rPr>
        <w:t>Condon and Schober</w:t>
      </w:r>
    </w:p>
  </w:endnote>
  <w:endnote w:id="2">
    <w:p w14:paraId="05462F69" w14:textId="54D3B837" w:rsidR="00EF3B21" w:rsidRDefault="00EF3B21">
      <w:pPr>
        <w:pStyle w:val="EndnoteText"/>
      </w:pPr>
      <w:r>
        <w:rPr>
          <w:rStyle w:val="EndnoteReference"/>
        </w:rPr>
        <w:endnoteRef/>
      </w:r>
      <w:r>
        <w:t xml:space="preserve"> </w:t>
      </w:r>
      <w:r w:rsidRPr="00EF3B21">
        <w:rPr>
          <w:sz w:val="24"/>
          <w:szCs w:val="24"/>
        </w:rPr>
        <w:t>D. Basmadjian, “The Little Adsorption Book, CRC Press, Boca Raton, FL, USA, Chapter 8.</w:t>
      </w:r>
    </w:p>
  </w:endnote>
  <w:endnote w:id="3">
    <w:p w14:paraId="3F715492" w14:textId="0D6832A5" w:rsidR="00F5636D" w:rsidRDefault="00F5636D">
      <w:pPr>
        <w:pStyle w:val="EndnoteText"/>
      </w:pPr>
      <w:r>
        <w:rPr>
          <w:rStyle w:val="EndnoteReference"/>
        </w:rPr>
        <w:endnoteRef/>
      </w:r>
      <w:r w:rsidR="00C077E5">
        <w:rPr>
          <w:sz w:val="24"/>
          <w:szCs w:val="24"/>
          <w:lang w:val="en-CA"/>
        </w:rPr>
        <w:t xml:space="preserve"> </w:t>
      </w:r>
      <w:r>
        <w:rPr>
          <w:sz w:val="24"/>
          <w:szCs w:val="24"/>
        </w:rPr>
        <w:t xml:space="preserve">R. P. Danner and L. A. Wenzl, AIChE Journal, </w:t>
      </w:r>
      <w:r>
        <w:rPr>
          <w:b/>
          <w:bCs/>
          <w:sz w:val="24"/>
          <w:szCs w:val="24"/>
        </w:rPr>
        <w:t>15(4)</w:t>
      </w:r>
      <w:r>
        <w:rPr>
          <w:sz w:val="24"/>
          <w:szCs w:val="24"/>
        </w:rPr>
        <w:t xml:space="preserve"> (1969) 515- 520</w:t>
      </w:r>
      <w:r w:rsidR="00FD3B49">
        <w:rPr>
          <w:sz w:val="24"/>
          <w:szCs w:val="24"/>
        </w:rPr>
        <w:t>.</w:t>
      </w:r>
    </w:p>
  </w:endnote>
  <w:endnote w:id="4">
    <w:p w14:paraId="08AC5A1D" w14:textId="6A024EDC" w:rsidR="00FD3B49" w:rsidRDefault="00FD3B49">
      <w:pPr>
        <w:pStyle w:val="EndnoteText"/>
      </w:pPr>
      <w:r>
        <w:rPr>
          <w:rStyle w:val="EndnoteReference"/>
        </w:rPr>
        <w:endnoteRef/>
      </w:r>
      <w:r>
        <w:t xml:space="preserve"> </w:t>
      </w:r>
      <w:r w:rsidRPr="00FD3B49">
        <w:rPr>
          <w:sz w:val="24"/>
          <w:szCs w:val="24"/>
        </w:rPr>
        <w:t>J. O. Clayton and W. F. Giauque, J. Am.</w:t>
      </w:r>
      <w:r w:rsidR="001856E9">
        <w:rPr>
          <w:sz w:val="24"/>
          <w:szCs w:val="24"/>
        </w:rPr>
        <w:t xml:space="preserve"> </w:t>
      </w:r>
      <w:r w:rsidRPr="00FD3B49">
        <w:rPr>
          <w:sz w:val="24"/>
          <w:szCs w:val="24"/>
        </w:rPr>
        <w:t>Chem. Soc. 54 (1932) 2610-2626</w:t>
      </w:r>
    </w:p>
  </w:endnote>
  <w:endnote w:id="5">
    <w:p w14:paraId="29B12B31" w14:textId="26A8A7DD" w:rsidR="001856E9" w:rsidRPr="00EF3B21" w:rsidRDefault="001856E9">
      <w:pPr>
        <w:pStyle w:val="EndnoteText"/>
        <w:rPr>
          <w:sz w:val="24"/>
          <w:szCs w:val="24"/>
        </w:rPr>
      </w:pPr>
      <w:r>
        <w:rPr>
          <w:rStyle w:val="EndnoteReference"/>
        </w:rPr>
        <w:endnoteRef/>
      </w:r>
      <w:r>
        <w:t xml:space="preserve"> </w:t>
      </w:r>
      <w:r w:rsidRPr="00EF3B21">
        <w:rPr>
          <w:sz w:val="24"/>
          <w:szCs w:val="24"/>
        </w:rPr>
        <w:t>Dortmund</w:t>
      </w:r>
      <w:r w:rsidR="00EF3B21" w:rsidRPr="00EF3B21">
        <w:rPr>
          <w:sz w:val="24"/>
          <w:szCs w:val="24"/>
        </w:rPr>
        <w:t xml:space="preserve"> Data Base</w:t>
      </w:r>
      <w:r w:rsidR="00EF3B21">
        <w:rPr>
          <w:sz w:val="24"/>
          <w:szCs w:val="24"/>
        </w:rPr>
        <w:t xml:space="preserve">, </w:t>
      </w:r>
      <w:r w:rsidR="004E216B">
        <w:rPr>
          <w:sz w:val="24"/>
          <w:szCs w:val="24"/>
        </w:rPr>
        <w:t>DDB #1057, “Nitrogen,” CAS =</w:t>
      </w:r>
      <w:r w:rsidR="004E216B" w:rsidRPr="004E216B">
        <w:rPr>
          <w:sz w:val="24"/>
          <w:szCs w:val="24"/>
        </w:rPr>
        <w:t xml:space="preserve"> </w:t>
      </w:r>
      <w:hyperlink r:id="rId1" w:tooltip="Search for CAS-No." w:history="1">
        <w:r w:rsidR="004E216B" w:rsidRPr="004E216B">
          <w:rPr>
            <w:rStyle w:val="Hyperlink"/>
            <w:sz w:val="24"/>
            <w:szCs w:val="24"/>
          </w:rPr>
          <w:t>7727-</w:t>
        </w:r>
        <w:r w:rsidR="004E216B" w:rsidRPr="004E216B">
          <w:rPr>
            <w:rStyle w:val="Hyperlink"/>
            <w:sz w:val="24"/>
            <w:szCs w:val="24"/>
          </w:rPr>
          <w:t>3</w:t>
        </w:r>
        <w:r w:rsidR="004E216B" w:rsidRPr="004E216B">
          <w:rPr>
            <w:rStyle w:val="Hyperlink"/>
            <w:sz w:val="24"/>
            <w:szCs w:val="24"/>
          </w:rPr>
          <w:t>7-9</w:t>
        </w:r>
      </w:hyperlink>
      <w:r w:rsidR="004E216B">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8CF3" w14:textId="77777777" w:rsidR="00A23797" w:rsidRDefault="00A23797" w:rsidP="00F5636D">
      <w:r>
        <w:separator/>
      </w:r>
    </w:p>
  </w:footnote>
  <w:footnote w:type="continuationSeparator" w:id="0">
    <w:p w14:paraId="07007C87" w14:textId="77777777" w:rsidR="00A23797" w:rsidRDefault="00A23797" w:rsidP="00F5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CE2"/>
    <w:multiLevelType w:val="multilevel"/>
    <w:tmpl w:val="24A2A2C4"/>
    <w:lvl w:ilvl="0">
      <w:start w:val="1"/>
      <w:numFmt w:val="decimal"/>
      <w:lvlText w:val="%1)"/>
      <w:legacy w:legacy="1" w:legacySpace="0" w:legacyIndent="720"/>
      <w:lvlJc w:val="left"/>
      <w:pPr>
        <w:ind w:left="720" w:hanging="720"/>
      </w:pPr>
      <w:rPr>
        <w:rFonts w:ascii="Times New Roman" w:eastAsiaTheme="minorHAnsi" w:hAnsi="Times New Roman" w:cs="Times New Roma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2525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6D"/>
    <w:rsid w:val="00013700"/>
    <w:rsid w:val="000252E8"/>
    <w:rsid w:val="00032FED"/>
    <w:rsid w:val="0006048F"/>
    <w:rsid w:val="000760D1"/>
    <w:rsid w:val="00082375"/>
    <w:rsid w:val="000D7AB3"/>
    <w:rsid w:val="00174FC3"/>
    <w:rsid w:val="001856E9"/>
    <w:rsid w:val="001D4172"/>
    <w:rsid w:val="00207DA8"/>
    <w:rsid w:val="00234890"/>
    <w:rsid w:val="002E3D84"/>
    <w:rsid w:val="003573C2"/>
    <w:rsid w:val="00370454"/>
    <w:rsid w:val="003C001C"/>
    <w:rsid w:val="003D24BC"/>
    <w:rsid w:val="004039D2"/>
    <w:rsid w:val="00440855"/>
    <w:rsid w:val="00452DD0"/>
    <w:rsid w:val="004C558E"/>
    <w:rsid w:val="004D7626"/>
    <w:rsid w:val="004E216B"/>
    <w:rsid w:val="00505480"/>
    <w:rsid w:val="00517A42"/>
    <w:rsid w:val="00522B3C"/>
    <w:rsid w:val="0053346D"/>
    <w:rsid w:val="00570519"/>
    <w:rsid w:val="00575252"/>
    <w:rsid w:val="005E680D"/>
    <w:rsid w:val="00623BCB"/>
    <w:rsid w:val="00680526"/>
    <w:rsid w:val="00683F10"/>
    <w:rsid w:val="006A0CCA"/>
    <w:rsid w:val="00726864"/>
    <w:rsid w:val="00776A7F"/>
    <w:rsid w:val="00782513"/>
    <w:rsid w:val="00801E5F"/>
    <w:rsid w:val="00864D1D"/>
    <w:rsid w:val="0087693B"/>
    <w:rsid w:val="008929B1"/>
    <w:rsid w:val="008B19C2"/>
    <w:rsid w:val="00910C4A"/>
    <w:rsid w:val="00917812"/>
    <w:rsid w:val="009312DA"/>
    <w:rsid w:val="009C0AA9"/>
    <w:rsid w:val="009F3559"/>
    <w:rsid w:val="00A23797"/>
    <w:rsid w:val="00A45B70"/>
    <w:rsid w:val="00AA750E"/>
    <w:rsid w:val="00AD53EA"/>
    <w:rsid w:val="00AF5897"/>
    <w:rsid w:val="00AF62E4"/>
    <w:rsid w:val="00B57812"/>
    <w:rsid w:val="00B76BAF"/>
    <w:rsid w:val="00B818AF"/>
    <w:rsid w:val="00BE3103"/>
    <w:rsid w:val="00C077E5"/>
    <w:rsid w:val="00C1174A"/>
    <w:rsid w:val="00C64667"/>
    <w:rsid w:val="00CB7764"/>
    <w:rsid w:val="00CC6191"/>
    <w:rsid w:val="00CF0FE7"/>
    <w:rsid w:val="00CF3C6E"/>
    <w:rsid w:val="00CF43A3"/>
    <w:rsid w:val="00D2695C"/>
    <w:rsid w:val="00D36B39"/>
    <w:rsid w:val="00D4273A"/>
    <w:rsid w:val="00D84486"/>
    <w:rsid w:val="00D85B2C"/>
    <w:rsid w:val="00D96756"/>
    <w:rsid w:val="00DE5AB1"/>
    <w:rsid w:val="00E75D01"/>
    <w:rsid w:val="00EF3B21"/>
    <w:rsid w:val="00F5636D"/>
    <w:rsid w:val="00F829F0"/>
    <w:rsid w:val="00FD3B49"/>
    <w:rsid w:val="00FF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295E"/>
  <w15:chartTrackingRefBased/>
  <w15:docId w15:val="{04306093-6A83-4A7C-A687-7310D19F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72"/>
    <w:pPr>
      <w:spacing w:after="0" w:line="240" w:lineRule="auto"/>
    </w:pPr>
    <w:rPr>
      <w:rFonts w:ascii="Times New Roman" w:eastAsia="NSimSun" w:hAnsi="Times New Roman" w:cs="Ari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26"/>
    <w:pPr>
      <w:ind w:left="720"/>
      <w:contextualSpacing/>
    </w:pPr>
    <w:rPr>
      <w:rFonts w:cs="Mangal"/>
      <w:szCs w:val="21"/>
    </w:rPr>
  </w:style>
  <w:style w:type="table" w:styleId="TableGrid">
    <w:name w:val="Table Grid"/>
    <w:basedOn w:val="TableNormal"/>
    <w:uiPriority w:val="39"/>
    <w:rsid w:val="00680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7693B"/>
    <w:pPr>
      <w:spacing w:after="200"/>
    </w:pPr>
    <w:rPr>
      <w:rFonts w:cs="Mangal"/>
      <w:i/>
      <w:iCs/>
      <w:color w:val="44546A" w:themeColor="text2"/>
      <w:sz w:val="18"/>
      <w:szCs w:val="16"/>
    </w:rPr>
  </w:style>
  <w:style w:type="paragraph" w:styleId="EndnoteText">
    <w:name w:val="endnote text"/>
    <w:basedOn w:val="Normal"/>
    <w:link w:val="EndnoteTextChar"/>
    <w:uiPriority w:val="99"/>
    <w:semiHidden/>
    <w:unhideWhenUsed/>
    <w:rsid w:val="00F5636D"/>
    <w:rPr>
      <w:rFonts w:cs="Mangal"/>
      <w:sz w:val="20"/>
      <w:szCs w:val="18"/>
    </w:rPr>
  </w:style>
  <w:style w:type="character" w:customStyle="1" w:styleId="EndnoteTextChar">
    <w:name w:val="Endnote Text Char"/>
    <w:basedOn w:val="DefaultParagraphFont"/>
    <w:link w:val="EndnoteText"/>
    <w:uiPriority w:val="99"/>
    <w:semiHidden/>
    <w:rsid w:val="00F5636D"/>
    <w:rPr>
      <w:rFonts w:ascii="Times New Roman" w:eastAsia="NSimSun" w:hAnsi="Times New Roman" w:cs="Mangal"/>
      <w:sz w:val="20"/>
      <w:szCs w:val="18"/>
      <w:lang w:eastAsia="zh-CN" w:bidi="hi-IN"/>
    </w:rPr>
  </w:style>
  <w:style w:type="character" w:styleId="EndnoteReference">
    <w:name w:val="endnote reference"/>
    <w:basedOn w:val="DefaultParagraphFont"/>
    <w:uiPriority w:val="99"/>
    <w:semiHidden/>
    <w:unhideWhenUsed/>
    <w:rsid w:val="00F5636D"/>
    <w:rPr>
      <w:vertAlign w:val="superscript"/>
    </w:rPr>
  </w:style>
  <w:style w:type="paragraph" w:styleId="FootnoteText">
    <w:name w:val="footnote text"/>
    <w:basedOn w:val="Normal"/>
    <w:link w:val="FootnoteTextChar"/>
    <w:uiPriority w:val="99"/>
    <w:semiHidden/>
    <w:unhideWhenUsed/>
    <w:rsid w:val="00D84486"/>
    <w:rPr>
      <w:rFonts w:cs="Mangal"/>
      <w:sz w:val="20"/>
      <w:szCs w:val="18"/>
    </w:rPr>
  </w:style>
  <w:style w:type="character" w:customStyle="1" w:styleId="FootnoteTextChar">
    <w:name w:val="Footnote Text Char"/>
    <w:basedOn w:val="DefaultParagraphFont"/>
    <w:link w:val="FootnoteText"/>
    <w:uiPriority w:val="99"/>
    <w:semiHidden/>
    <w:rsid w:val="00D84486"/>
    <w:rPr>
      <w:rFonts w:ascii="Times New Roman" w:eastAsia="NSimSun" w:hAnsi="Times New Roman" w:cs="Mangal"/>
      <w:sz w:val="20"/>
      <w:szCs w:val="18"/>
      <w:lang w:eastAsia="zh-CN" w:bidi="hi-IN"/>
    </w:rPr>
  </w:style>
  <w:style w:type="character" w:styleId="FootnoteReference">
    <w:name w:val="footnote reference"/>
    <w:basedOn w:val="DefaultParagraphFont"/>
    <w:uiPriority w:val="99"/>
    <w:semiHidden/>
    <w:unhideWhenUsed/>
    <w:rsid w:val="00D84486"/>
    <w:rPr>
      <w:vertAlign w:val="superscript"/>
    </w:rPr>
  </w:style>
  <w:style w:type="character" w:styleId="Hyperlink">
    <w:name w:val="Hyperlink"/>
    <w:basedOn w:val="DefaultParagraphFont"/>
    <w:uiPriority w:val="99"/>
    <w:semiHidden/>
    <w:unhideWhenUsed/>
    <w:rsid w:val="004E216B"/>
    <w:rPr>
      <w:color w:val="0000FF"/>
      <w:u w:val="single"/>
    </w:rPr>
  </w:style>
  <w:style w:type="character" w:styleId="FollowedHyperlink">
    <w:name w:val="FollowedHyperlink"/>
    <w:basedOn w:val="DefaultParagraphFont"/>
    <w:uiPriority w:val="99"/>
    <w:semiHidden/>
    <w:unhideWhenUsed/>
    <w:rsid w:val="004E21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endnotes.xml.rels><?xml version="1.0" encoding="UTF-8" standalone="yes"?>
<Relationships xmlns="http://schemas.openxmlformats.org/package/2006/relationships"><Relationship Id="rId1" Type="http://schemas.openxmlformats.org/officeDocument/2006/relationships/hyperlink" Target="http://ddbonline.ddbst.com/DDBSearch/onlineddboverview.exe?submit=Search&amp;casn=7727-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250CB-2C04-481F-9F21-1AC81191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19</cp:revision>
  <cp:lastPrinted>2023-10-05T17:06:00Z</cp:lastPrinted>
  <dcterms:created xsi:type="dcterms:W3CDTF">2023-09-06T16:59:00Z</dcterms:created>
  <dcterms:modified xsi:type="dcterms:W3CDTF">2023-10-05T19:33:00Z</dcterms:modified>
</cp:coreProperties>
</file>