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57BE3" w14:textId="77777777" w:rsidR="00C8234A" w:rsidRPr="00746742" w:rsidRDefault="00C8234A" w:rsidP="00C8234A">
      <w:pPr>
        <w:pStyle w:val="NoSpacing"/>
        <w:jc w:val="center"/>
        <w:rPr>
          <w:sz w:val="28"/>
          <w:szCs w:val="28"/>
        </w:rPr>
      </w:pPr>
      <w:r w:rsidRPr="00746742">
        <w:rPr>
          <w:sz w:val="28"/>
          <w:szCs w:val="28"/>
        </w:rPr>
        <w:t>Using Quantum Mechanics to interpret the output of the BET analysis</w:t>
      </w:r>
    </w:p>
    <w:p w14:paraId="092E8990" w14:textId="26E67F0B" w:rsidR="00C8234A" w:rsidRDefault="008E4C5D" w:rsidP="00C8234A">
      <w:pPr>
        <w:pStyle w:val="NoSpacing"/>
        <w:jc w:val="center"/>
      </w:pPr>
      <w:r>
        <w:t xml:space="preserve">with </w:t>
      </w:r>
      <w:r w:rsidR="00C8234A">
        <w:t xml:space="preserve">Tables to convert </w:t>
      </w:r>
      <w:r w:rsidR="00C8234A">
        <w:rPr>
          <w:i/>
          <w:iCs/>
        </w:rPr>
        <w:t>A</w:t>
      </w:r>
      <w:r w:rsidR="00C8234A">
        <w:t xml:space="preserve"> and </w:t>
      </w:r>
      <w:r w:rsidR="00C8234A">
        <w:rPr>
          <w:i/>
          <w:iCs/>
        </w:rPr>
        <w:t>C</w:t>
      </w:r>
      <w:r w:rsidR="00C8234A">
        <w:t xml:space="preserve"> to </w:t>
      </w:r>
      <w:r w:rsidR="00C8234A">
        <w:rPr>
          <w:i/>
          <w:iCs/>
        </w:rPr>
        <w:t>n</w:t>
      </w:r>
      <w:r w:rsidR="00C8234A">
        <w:rPr>
          <w:vertAlign w:val="subscript"/>
        </w:rPr>
        <w:t>m</w:t>
      </w:r>
      <w:r w:rsidR="00C8234A">
        <w:t xml:space="preserve"> and </w:t>
      </w:r>
      <w:r w:rsidR="00C8234A">
        <w:rPr>
          <w:i/>
          <w:iCs/>
        </w:rPr>
        <w:t>E</w:t>
      </w:r>
      <w:r w:rsidR="00C8234A">
        <w:rPr>
          <w:vertAlign w:val="subscript"/>
        </w:rPr>
        <w:t>a</w:t>
      </w:r>
      <w:r w:rsidR="00C8234A">
        <w:t>,</w:t>
      </w:r>
    </w:p>
    <w:p w14:paraId="59600179" w14:textId="77777777" w:rsidR="00C8234A" w:rsidRPr="00746742" w:rsidRDefault="00C8234A" w:rsidP="00C8234A">
      <w:pPr>
        <w:pStyle w:val="NoSpacing"/>
        <w:jc w:val="center"/>
      </w:pPr>
    </w:p>
    <w:p w14:paraId="53256695" w14:textId="77777777" w:rsidR="00C8234A" w:rsidRDefault="00C8234A" w:rsidP="00C8234A">
      <w:pPr>
        <w:pStyle w:val="NoSpacing"/>
        <w:jc w:val="center"/>
      </w:pPr>
      <w:r>
        <w:t>James B. Condon</w:t>
      </w:r>
      <w:r>
        <w:rPr>
          <w:rStyle w:val="FootnoteReference"/>
        </w:rPr>
        <w:footnoteReference w:id="1"/>
      </w:r>
    </w:p>
    <w:p w14:paraId="5CDD43FC" w14:textId="77777777" w:rsidR="00C8234A" w:rsidRDefault="00C8234A" w:rsidP="00C8234A">
      <w:pPr>
        <w:pStyle w:val="NoSpacing"/>
      </w:pPr>
    </w:p>
    <w:sdt>
      <w:sdtPr>
        <w:rPr>
          <w:rFonts w:ascii="Times New Roman" w:eastAsia="NSimSun" w:hAnsi="Times New Roman" w:cs="Arial"/>
          <w:color w:val="auto"/>
          <w:kern w:val="2"/>
          <w:sz w:val="24"/>
          <w:szCs w:val="24"/>
          <w:lang w:eastAsia="zh-CN" w:bidi="hi-IN"/>
        </w:rPr>
        <w:id w:val="998467034"/>
        <w:docPartObj>
          <w:docPartGallery w:val="Table of Contents"/>
          <w:docPartUnique/>
        </w:docPartObj>
      </w:sdtPr>
      <w:sdtEndPr>
        <w:rPr>
          <w:b/>
          <w:bCs/>
          <w:noProof/>
        </w:rPr>
      </w:sdtEndPr>
      <w:sdtContent>
        <w:p w14:paraId="6C99E080" w14:textId="2F2787E3" w:rsidR="00C8234A" w:rsidRDefault="00C8234A">
          <w:pPr>
            <w:pStyle w:val="TOCHeading"/>
          </w:pPr>
          <w:r w:rsidRPr="003C6A7F">
            <w:rPr>
              <w:rFonts w:ascii="Times New Roman" w:hAnsi="Times New Roman" w:cs="Times New Roman"/>
              <w:b/>
              <w:bCs/>
              <w:color w:val="auto"/>
            </w:rPr>
            <w:t>Contents</w:t>
          </w:r>
        </w:p>
        <w:p w14:paraId="57F81020" w14:textId="1FA95ACB" w:rsidR="004A2B35" w:rsidRDefault="00C8234A">
          <w:pPr>
            <w:pStyle w:val="TOC1"/>
            <w:tabs>
              <w:tab w:val="right" w:leader="dot" w:pos="9350"/>
            </w:tabs>
            <w:rPr>
              <w:rFonts w:asciiTheme="minorHAnsi" w:eastAsiaTheme="minorEastAsia" w:hAnsiTheme="minorHAnsi" w:cstheme="minorBidi"/>
              <w:noProof/>
              <w:szCs w:val="24"/>
              <w:lang w:eastAsia="en-US" w:bidi="ar-SA"/>
              <w14:ligatures w14:val="standardContextual"/>
            </w:rPr>
          </w:pPr>
          <w:r>
            <w:fldChar w:fldCharType="begin"/>
          </w:r>
          <w:r>
            <w:instrText xml:space="preserve"> TOC \o "1-3" \h \z \u </w:instrText>
          </w:r>
          <w:r>
            <w:fldChar w:fldCharType="separate"/>
          </w:r>
          <w:hyperlink w:anchor="_Toc171582123" w:history="1">
            <w:r w:rsidR="004A2B35" w:rsidRPr="008D4AA9">
              <w:rPr>
                <w:rStyle w:val="Hyperlink"/>
                <w:b/>
                <w:bCs/>
                <w:noProof/>
              </w:rPr>
              <w:t>Abstract:</w:t>
            </w:r>
            <w:r w:rsidR="004A2B35">
              <w:rPr>
                <w:noProof/>
                <w:webHidden/>
              </w:rPr>
              <w:tab/>
            </w:r>
            <w:r w:rsidR="004A2B35">
              <w:rPr>
                <w:noProof/>
                <w:webHidden/>
              </w:rPr>
              <w:fldChar w:fldCharType="begin"/>
            </w:r>
            <w:r w:rsidR="004A2B35">
              <w:rPr>
                <w:noProof/>
                <w:webHidden/>
              </w:rPr>
              <w:instrText xml:space="preserve"> PAGEREF _Toc171582123 \h </w:instrText>
            </w:r>
            <w:r w:rsidR="004A2B35">
              <w:rPr>
                <w:noProof/>
                <w:webHidden/>
              </w:rPr>
            </w:r>
            <w:r w:rsidR="004A2B35">
              <w:rPr>
                <w:noProof/>
                <w:webHidden/>
              </w:rPr>
              <w:fldChar w:fldCharType="separate"/>
            </w:r>
            <w:r w:rsidR="004A2B35">
              <w:rPr>
                <w:noProof/>
                <w:webHidden/>
              </w:rPr>
              <w:t>3</w:t>
            </w:r>
            <w:r w:rsidR="004A2B35">
              <w:rPr>
                <w:noProof/>
                <w:webHidden/>
              </w:rPr>
              <w:fldChar w:fldCharType="end"/>
            </w:r>
          </w:hyperlink>
        </w:p>
        <w:p w14:paraId="628F8F03" w14:textId="2D29DD25" w:rsidR="004A2B35" w:rsidRDefault="00000000">
          <w:pPr>
            <w:pStyle w:val="TOC1"/>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24" w:history="1">
            <w:r w:rsidR="004A2B35" w:rsidRPr="008D4AA9">
              <w:rPr>
                <w:rStyle w:val="Hyperlink"/>
                <w:b/>
                <w:bCs/>
                <w:noProof/>
              </w:rPr>
              <w:t>Introduction:</w:t>
            </w:r>
            <w:r w:rsidR="004A2B35">
              <w:rPr>
                <w:noProof/>
                <w:webHidden/>
              </w:rPr>
              <w:tab/>
            </w:r>
            <w:r w:rsidR="004A2B35">
              <w:rPr>
                <w:noProof/>
                <w:webHidden/>
              </w:rPr>
              <w:fldChar w:fldCharType="begin"/>
            </w:r>
            <w:r w:rsidR="004A2B35">
              <w:rPr>
                <w:noProof/>
                <w:webHidden/>
              </w:rPr>
              <w:instrText xml:space="preserve"> PAGEREF _Toc171582124 \h </w:instrText>
            </w:r>
            <w:r w:rsidR="004A2B35">
              <w:rPr>
                <w:noProof/>
                <w:webHidden/>
              </w:rPr>
            </w:r>
            <w:r w:rsidR="004A2B35">
              <w:rPr>
                <w:noProof/>
                <w:webHidden/>
              </w:rPr>
              <w:fldChar w:fldCharType="separate"/>
            </w:r>
            <w:r w:rsidR="004A2B35">
              <w:rPr>
                <w:noProof/>
                <w:webHidden/>
              </w:rPr>
              <w:t>3</w:t>
            </w:r>
            <w:r w:rsidR="004A2B35">
              <w:rPr>
                <w:noProof/>
                <w:webHidden/>
              </w:rPr>
              <w:fldChar w:fldCharType="end"/>
            </w:r>
          </w:hyperlink>
        </w:p>
        <w:p w14:paraId="386E5BCE" w14:textId="6BFE39F0" w:rsidR="004A2B35" w:rsidRDefault="00000000">
          <w:pPr>
            <w:pStyle w:val="TOC1"/>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25" w:history="1">
            <w:r w:rsidR="004A2B35" w:rsidRPr="008D4AA9">
              <w:rPr>
                <w:rStyle w:val="Hyperlink"/>
                <w:rFonts w:cs="Times New Roman"/>
                <w:b/>
                <w:bCs/>
                <w:noProof/>
              </w:rPr>
              <w:t>Some basic concepts and definitions:</w:t>
            </w:r>
            <w:r w:rsidR="004A2B35">
              <w:rPr>
                <w:noProof/>
                <w:webHidden/>
              </w:rPr>
              <w:tab/>
            </w:r>
            <w:r w:rsidR="004A2B35">
              <w:rPr>
                <w:noProof/>
                <w:webHidden/>
              </w:rPr>
              <w:fldChar w:fldCharType="begin"/>
            </w:r>
            <w:r w:rsidR="004A2B35">
              <w:rPr>
                <w:noProof/>
                <w:webHidden/>
              </w:rPr>
              <w:instrText xml:space="preserve"> PAGEREF _Toc171582125 \h </w:instrText>
            </w:r>
            <w:r w:rsidR="004A2B35">
              <w:rPr>
                <w:noProof/>
                <w:webHidden/>
              </w:rPr>
            </w:r>
            <w:r w:rsidR="004A2B35">
              <w:rPr>
                <w:noProof/>
                <w:webHidden/>
              </w:rPr>
              <w:fldChar w:fldCharType="separate"/>
            </w:r>
            <w:r w:rsidR="004A2B35">
              <w:rPr>
                <w:noProof/>
                <w:webHidden/>
              </w:rPr>
              <w:t>5</w:t>
            </w:r>
            <w:r w:rsidR="004A2B35">
              <w:rPr>
                <w:noProof/>
                <w:webHidden/>
              </w:rPr>
              <w:fldChar w:fldCharType="end"/>
            </w:r>
          </w:hyperlink>
        </w:p>
        <w:p w14:paraId="7CC4AF05" w14:textId="5E9D88BE" w:rsidR="004A2B35" w:rsidRDefault="00000000">
          <w:pPr>
            <w:pStyle w:val="TOC1"/>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26" w:history="1">
            <w:r w:rsidR="004A2B35" w:rsidRPr="008D4AA9">
              <w:rPr>
                <w:rStyle w:val="Hyperlink"/>
                <w:rFonts w:cs="Times New Roman"/>
                <w:b/>
                <w:bCs/>
                <w:noProof/>
              </w:rPr>
              <w:t>Part I Two problems with the BET theory.</w:t>
            </w:r>
            <w:r w:rsidR="004A2B35">
              <w:rPr>
                <w:noProof/>
                <w:webHidden/>
              </w:rPr>
              <w:tab/>
            </w:r>
            <w:r w:rsidR="004A2B35">
              <w:rPr>
                <w:noProof/>
                <w:webHidden/>
              </w:rPr>
              <w:fldChar w:fldCharType="begin"/>
            </w:r>
            <w:r w:rsidR="004A2B35">
              <w:rPr>
                <w:noProof/>
                <w:webHidden/>
              </w:rPr>
              <w:instrText xml:space="preserve"> PAGEREF _Toc171582126 \h </w:instrText>
            </w:r>
            <w:r w:rsidR="004A2B35">
              <w:rPr>
                <w:noProof/>
                <w:webHidden/>
              </w:rPr>
            </w:r>
            <w:r w:rsidR="004A2B35">
              <w:rPr>
                <w:noProof/>
                <w:webHidden/>
              </w:rPr>
              <w:fldChar w:fldCharType="separate"/>
            </w:r>
            <w:r w:rsidR="004A2B35">
              <w:rPr>
                <w:noProof/>
                <w:webHidden/>
              </w:rPr>
              <w:t>6</w:t>
            </w:r>
            <w:r w:rsidR="004A2B35">
              <w:rPr>
                <w:noProof/>
                <w:webHidden/>
              </w:rPr>
              <w:fldChar w:fldCharType="end"/>
            </w:r>
          </w:hyperlink>
        </w:p>
        <w:p w14:paraId="207B5412" w14:textId="20EE1BE0"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27" w:history="1">
            <w:r w:rsidR="004A2B35" w:rsidRPr="008D4AA9">
              <w:rPr>
                <w:rStyle w:val="Hyperlink"/>
                <w:i/>
                <w:iCs/>
                <w:noProof/>
              </w:rPr>
              <w:t>A) “Henry’s law” applied to physisorption?</w:t>
            </w:r>
            <w:r w:rsidR="004A2B35">
              <w:rPr>
                <w:noProof/>
                <w:webHidden/>
              </w:rPr>
              <w:tab/>
            </w:r>
            <w:r w:rsidR="004A2B35">
              <w:rPr>
                <w:noProof/>
                <w:webHidden/>
              </w:rPr>
              <w:fldChar w:fldCharType="begin"/>
            </w:r>
            <w:r w:rsidR="004A2B35">
              <w:rPr>
                <w:noProof/>
                <w:webHidden/>
              </w:rPr>
              <w:instrText xml:space="preserve"> PAGEREF _Toc171582127 \h </w:instrText>
            </w:r>
            <w:r w:rsidR="004A2B35">
              <w:rPr>
                <w:noProof/>
                <w:webHidden/>
              </w:rPr>
            </w:r>
            <w:r w:rsidR="004A2B35">
              <w:rPr>
                <w:noProof/>
                <w:webHidden/>
              </w:rPr>
              <w:fldChar w:fldCharType="separate"/>
            </w:r>
            <w:r w:rsidR="004A2B35">
              <w:rPr>
                <w:noProof/>
                <w:webHidden/>
              </w:rPr>
              <w:t>7</w:t>
            </w:r>
            <w:r w:rsidR="004A2B35">
              <w:rPr>
                <w:noProof/>
                <w:webHidden/>
              </w:rPr>
              <w:fldChar w:fldCharType="end"/>
            </w:r>
          </w:hyperlink>
        </w:p>
        <w:p w14:paraId="3654F6C1" w14:textId="0A6AD058"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28" w:history="1">
            <w:r w:rsidR="004A2B35" w:rsidRPr="008D4AA9">
              <w:rPr>
                <w:rStyle w:val="Hyperlink"/>
                <w:i/>
                <w:noProof/>
              </w:rPr>
              <w:t>B) What is wrong with the BET?</w:t>
            </w:r>
            <w:r w:rsidR="004A2B35">
              <w:rPr>
                <w:noProof/>
                <w:webHidden/>
              </w:rPr>
              <w:tab/>
            </w:r>
            <w:r w:rsidR="004A2B35">
              <w:rPr>
                <w:noProof/>
                <w:webHidden/>
              </w:rPr>
              <w:fldChar w:fldCharType="begin"/>
            </w:r>
            <w:r w:rsidR="004A2B35">
              <w:rPr>
                <w:noProof/>
                <w:webHidden/>
              </w:rPr>
              <w:instrText xml:space="preserve"> PAGEREF _Toc171582128 \h </w:instrText>
            </w:r>
            <w:r w:rsidR="004A2B35">
              <w:rPr>
                <w:noProof/>
                <w:webHidden/>
              </w:rPr>
            </w:r>
            <w:r w:rsidR="004A2B35">
              <w:rPr>
                <w:noProof/>
                <w:webHidden/>
              </w:rPr>
              <w:fldChar w:fldCharType="separate"/>
            </w:r>
            <w:r w:rsidR="004A2B35">
              <w:rPr>
                <w:noProof/>
                <w:webHidden/>
              </w:rPr>
              <w:t>8</w:t>
            </w:r>
            <w:r w:rsidR="004A2B35">
              <w:rPr>
                <w:noProof/>
                <w:webHidden/>
              </w:rPr>
              <w:fldChar w:fldCharType="end"/>
            </w:r>
          </w:hyperlink>
        </w:p>
        <w:p w14:paraId="748B1723" w14:textId="386D1ED4" w:rsidR="004A2B35" w:rsidRDefault="00000000">
          <w:pPr>
            <w:pStyle w:val="TOC1"/>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29" w:history="1">
            <w:r w:rsidR="004A2B35" w:rsidRPr="008D4AA9">
              <w:rPr>
                <w:rStyle w:val="Hyperlink"/>
                <w:b/>
                <w:bCs/>
                <w:iCs/>
                <w:noProof/>
              </w:rPr>
              <w:t>Part II: An alternate hypothesis - Quantum Mechanics applied to Physisorption:</w:t>
            </w:r>
            <w:r w:rsidR="004A2B35">
              <w:rPr>
                <w:noProof/>
                <w:webHidden/>
              </w:rPr>
              <w:tab/>
            </w:r>
            <w:r w:rsidR="004A2B35">
              <w:rPr>
                <w:noProof/>
                <w:webHidden/>
              </w:rPr>
              <w:fldChar w:fldCharType="begin"/>
            </w:r>
            <w:r w:rsidR="004A2B35">
              <w:rPr>
                <w:noProof/>
                <w:webHidden/>
              </w:rPr>
              <w:instrText xml:space="preserve"> PAGEREF _Toc171582129 \h </w:instrText>
            </w:r>
            <w:r w:rsidR="004A2B35">
              <w:rPr>
                <w:noProof/>
                <w:webHidden/>
              </w:rPr>
            </w:r>
            <w:r w:rsidR="004A2B35">
              <w:rPr>
                <w:noProof/>
                <w:webHidden/>
              </w:rPr>
              <w:fldChar w:fldCharType="separate"/>
            </w:r>
            <w:r w:rsidR="004A2B35">
              <w:rPr>
                <w:noProof/>
                <w:webHidden/>
              </w:rPr>
              <w:t>9</w:t>
            </w:r>
            <w:r w:rsidR="004A2B35">
              <w:rPr>
                <w:noProof/>
                <w:webHidden/>
              </w:rPr>
              <w:fldChar w:fldCharType="end"/>
            </w:r>
          </w:hyperlink>
        </w:p>
        <w:p w14:paraId="17038F6E" w14:textId="095EAFF5"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30" w:history="1">
            <w:r w:rsidR="004A2B35" w:rsidRPr="008D4AA9">
              <w:rPr>
                <w:rStyle w:val="Hyperlink"/>
                <w:i/>
                <w:iCs/>
                <w:noProof/>
              </w:rPr>
              <w:t>A) The QM/ESW Equations</w:t>
            </w:r>
            <w:r w:rsidR="004A2B35" w:rsidRPr="008D4AA9">
              <w:rPr>
                <w:rStyle w:val="Hyperlink"/>
                <w:noProof/>
              </w:rPr>
              <w:t>:</w:t>
            </w:r>
            <w:r w:rsidR="004A2B35">
              <w:rPr>
                <w:noProof/>
                <w:webHidden/>
              </w:rPr>
              <w:tab/>
            </w:r>
            <w:r w:rsidR="004A2B35">
              <w:rPr>
                <w:noProof/>
                <w:webHidden/>
              </w:rPr>
              <w:fldChar w:fldCharType="begin"/>
            </w:r>
            <w:r w:rsidR="004A2B35">
              <w:rPr>
                <w:noProof/>
                <w:webHidden/>
              </w:rPr>
              <w:instrText xml:space="preserve"> PAGEREF _Toc171582130 \h </w:instrText>
            </w:r>
            <w:r w:rsidR="004A2B35">
              <w:rPr>
                <w:noProof/>
                <w:webHidden/>
              </w:rPr>
            </w:r>
            <w:r w:rsidR="004A2B35">
              <w:rPr>
                <w:noProof/>
                <w:webHidden/>
              </w:rPr>
              <w:fldChar w:fldCharType="separate"/>
            </w:r>
            <w:r w:rsidR="004A2B35">
              <w:rPr>
                <w:noProof/>
                <w:webHidden/>
              </w:rPr>
              <w:t>9</w:t>
            </w:r>
            <w:r w:rsidR="004A2B35">
              <w:rPr>
                <w:noProof/>
                <w:webHidden/>
              </w:rPr>
              <w:fldChar w:fldCharType="end"/>
            </w:r>
          </w:hyperlink>
        </w:p>
        <w:p w14:paraId="7EA23038" w14:textId="07BD511D"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31" w:history="1">
            <w:r w:rsidR="004A2B35" w:rsidRPr="008D4AA9">
              <w:rPr>
                <w:rStyle w:val="Hyperlink"/>
                <w:i/>
                <w:noProof/>
              </w:rPr>
              <w:t>B) Statistical Demonstration of QM</w:t>
            </w:r>
            <w:r w:rsidR="004A2B35" w:rsidRPr="008D4AA9">
              <w:rPr>
                <w:rStyle w:val="Hyperlink"/>
                <w:iCs/>
                <w:noProof/>
              </w:rPr>
              <w:t>/</w:t>
            </w:r>
            <w:r w:rsidR="004A2B35" w:rsidRPr="008D4AA9">
              <w:rPr>
                <w:rStyle w:val="Hyperlink"/>
                <w:i/>
                <w:noProof/>
              </w:rPr>
              <w:t>ESW versus BET for Physisorption:</w:t>
            </w:r>
            <w:r w:rsidR="004A2B35">
              <w:rPr>
                <w:noProof/>
                <w:webHidden/>
              </w:rPr>
              <w:tab/>
            </w:r>
            <w:r w:rsidR="004A2B35">
              <w:rPr>
                <w:noProof/>
                <w:webHidden/>
              </w:rPr>
              <w:fldChar w:fldCharType="begin"/>
            </w:r>
            <w:r w:rsidR="004A2B35">
              <w:rPr>
                <w:noProof/>
                <w:webHidden/>
              </w:rPr>
              <w:instrText xml:space="preserve"> PAGEREF _Toc171582131 \h </w:instrText>
            </w:r>
            <w:r w:rsidR="004A2B35">
              <w:rPr>
                <w:noProof/>
                <w:webHidden/>
              </w:rPr>
            </w:r>
            <w:r w:rsidR="004A2B35">
              <w:rPr>
                <w:noProof/>
                <w:webHidden/>
              </w:rPr>
              <w:fldChar w:fldCharType="separate"/>
            </w:r>
            <w:r w:rsidR="004A2B35">
              <w:rPr>
                <w:noProof/>
                <w:webHidden/>
              </w:rPr>
              <w:t>11</w:t>
            </w:r>
            <w:r w:rsidR="004A2B35">
              <w:rPr>
                <w:noProof/>
                <w:webHidden/>
              </w:rPr>
              <w:fldChar w:fldCharType="end"/>
            </w:r>
          </w:hyperlink>
        </w:p>
        <w:p w14:paraId="2F20DC91" w14:textId="4CA39079" w:rsidR="004A2B35" w:rsidRDefault="00000000">
          <w:pPr>
            <w:pStyle w:val="TOC3"/>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32" w:history="1">
            <w:r w:rsidR="004A2B35" w:rsidRPr="008D4AA9">
              <w:rPr>
                <w:rStyle w:val="Hyperlink"/>
                <w:i/>
                <w:iCs/>
                <w:noProof/>
              </w:rPr>
              <w:t>Example 1) Data by Krug, Jaroniec and Olivier:</w:t>
            </w:r>
            <w:r w:rsidR="004A2B35">
              <w:rPr>
                <w:noProof/>
                <w:webHidden/>
              </w:rPr>
              <w:tab/>
            </w:r>
            <w:r w:rsidR="004A2B35">
              <w:rPr>
                <w:noProof/>
                <w:webHidden/>
              </w:rPr>
              <w:fldChar w:fldCharType="begin"/>
            </w:r>
            <w:r w:rsidR="004A2B35">
              <w:rPr>
                <w:noProof/>
                <w:webHidden/>
              </w:rPr>
              <w:instrText xml:space="preserve"> PAGEREF _Toc171582132 \h </w:instrText>
            </w:r>
            <w:r w:rsidR="004A2B35">
              <w:rPr>
                <w:noProof/>
                <w:webHidden/>
              </w:rPr>
            </w:r>
            <w:r w:rsidR="004A2B35">
              <w:rPr>
                <w:noProof/>
                <w:webHidden/>
              </w:rPr>
              <w:fldChar w:fldCharType="separate"/>
            </w:r>
            <w:r w:rsidR="004A2B35">
              <w:rPr>
                <w:noProof/>
                <w:webHidden/>
              </w:rPr>
              <w:t>11</w:t>
            </w:r>
            <w:r w:rsidR="004A2B35">
              <w:rPr>
                <w:noProof/>
                <w:webHidden/>
              </w:rPr>
              <w:fldChar w:fldCharType="end"/>
            </w:r>
          </w:hyperlink>
        </w:p>
        <w:p w14:paraId="1ABA62D9" w14:textId="675BED2C" w:rsidR="004A2B35" w:rsidRDefault="00000000">
          <w:pPr>
            <w:pStyle w:val="TOC3"/>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33" w:history="1">
            <w:r w:rsidR="004A2B35" w:rsidRPr="008D4AA9">
              <w:rPr>
                <w:rStyle w:val="Hyperlink"/>
                <w:rFonts w:cs="Times New Roman"/>
                <w:b/>
                <w:bCs/>
                <w:noProof/>
              </w:rPr>
              <w:t>Table 1 C</w:t>
            </w:r>
            <w:r w:rsidR="004A2B35" w:rsidRPr="008D4AA9">
              <w:rPr>
                <w:rStyle w:val="Hyperlink"/>
                <w:rFonts w:cs="Times New Roman"/>
                <w:noProof/>
              </w:rPr>
              <w:t>omparison of the QM model and the BET parameters for KJO data.</w:t>
            </w:r>
            <w:r w:rsidR="004A2B35">
              <w:rPr>
                <w:noProof/>
                <w:webHidden/>
              </w:rPr>
              <w:tab/>
            </w:r>
            <w:r w:rsidR="004A2B35">
              <w:rPr>
                <w:noProof/>
                <w:webHidden/>
              </w:rPr>
              <w:fldChar w:fldCharType="begin"/>
            </w:r>
            <w:r w:rsidR="004A2B35">
              <w:rPr>
                <w:noProof/>
                <w:webHidden/>
              </w:rPr>
              <w:instrText xml:space="preserve"> PAGEREF _Toc171582133 \h </w:instrText>
            </w:r>
            <w:r w:rsidR="004A2B35">
              <w:rPr>
                <w:noProof/>
                <w:webHidden/>
              </w:rPr>
            </w:r>
            <w:r w:rsidR="004A2B35">
              <w:rPr>
                <w:noProof/>
                <w:webHidden/>
              </w:rPr>
              <w:fldChar w:fldCharType="separate"/>
            </w:r>
            <w:r w:rsidR="004A2B35">
              <w:rPr>
                <w:noProof/>
                <w:webHidden/>
              </w:rPr>
              <w:t>15</w:t>
            </w:r>
            <w:r w:rsidR="004A2B35">
              <w:rPr>
                <w:noProof/>
                <w:webHidden/>
              </w:rPr>
              <w:fldChar w:fldCharType="end"/>
            </w:r>
          </w:hyperlink>
        </w:p>
        <w:p w14:paraId="7B6ECCD6" w14:textId="402FE608"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34" w:history="1">
            <w:r w:rsidR="004A2B35" w:rsidRPr="008D4AA9">
              <w:rPr>
                <w:rStyle w:val="Hyperlink"/>
                <w:rFonts w:cs="Times New Roman"/>
                <w:i/>
                <w:iCs/>
                <w:noProof/>
              </w:rPr>
              <w:t>Conclusions concerning statistical comparison</w:t>
            </w:r>
            <w:r w:rsidR="004A2B35">
              <w:rPr>
                <w:noProof/>
                <w:webHidden/>
              </w:rPr>
              <w:tab/>
            </w:r>
            <w:r w:rsidR="004A2B35">
              <w:rPr>
                <w:noProof/>
                <w:webHidden/>
              </w:rPr>
              <w:fldChar w:fldCharType="begin"/>
            </w:r>
            <w:r w:rsidR="004A2B35">
              <w:rPr>
                <w:noProof/>
                <w:webHidden/>
              </w:rPr>
              <w:instrText xml:space="preserve"> PAGEREF _Toc171582134 \h </w:instrText>
            </w:r>
            <w:r w:rsidR="004A2B35">
              <w:rPr>
                <w:noProof/>
                <w:webHidden/>
              </w:rPr>
            </w:r>
            <w:r w:rsidR="004A2B35">
              <w:rPr>
                <w:noProof/>
                <w:webHidden/>
              </w:rPr>
              <w:fldChar w:fldCharType="separate"/>
            </w:r>
            <w:r w:rsidR="004A2B35">
              <w:rPr>
                <w:noProof/>
                <w:webHidden/>
              </w:rPr>
              <w:t>16</w:t>
            </w:r>
            <w:r w:rsidR="004A2B35">
              <w:rPr>
                <w:noProof/>
                <w:webHidden/>
              </w:rPr>
              <w:fldChar w:fldCharType="end"/>
            </w:r>
          </w:hyperlink>
        </w:p>
        <w:p w14:paraId="64B51BCF" w14:textId="5204E722" w:rsidR="004A2B35" w:rsidRDefault="00000000">
          <w:pPr>
            <w:pStyle w:val="TOC1"/>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35" w:history="1">
            <w:r w:rsidR="004A2B35" w:rsidRPr="008D4AA9">
              <w:rPr>
                <w:rStyle w:val="Hyperlink"/>
                <w:rFonts w:cs="Times New Roman"/>
                <w:b/>
                <w:bCs/>
                <w:noProof/>
              </w:rPr>
              <w:t>Part III The weak spot for BET – Henry’s Law applied to physisorption</w:t>
            </w:r>
            <w:r w:rsidR="004A2B35" w:rsidRPr="008D4AA9">
              <w:rPr>
                <w:rStyle w:val="Hyperlink"/>
                <w:rFonts w:cs="Times New Roman"/>
                <w:i/>
                <w:iCs/>
                <w:noProof/>
              </w:rPr>
              <w:t>:</w:t>
            </w:r>
            <w:r w:rsidR="004A2B35">
              <w:rPr>
                <w:noProof/>
                <w:webHidden/>
              </w:rPr>
              <w:tab/>
            </w:r>
            <w:r w:rsidR="004A2B35">
              <w:rPr>
                <w:noProof/>
                <w:webHidden/>
              </w:rPr>
              <w:fldChar w:fldCharType="begin"/>
            </w:r>
            <w:r w:rsidR="004A2B35">
              <w:rPr>
                <w:noProof/>
                <w:webHidden/>
              </w:rPr>
              <w:instrText xml:space="preserve"> PAGEREF _Toc171582135 \h </w:instrText>
            </w:r>
            <w:r w:rsidR="004A2B35">
              <w:rPr>
                <w:noProof/>
                <w:webHidden/>
              </w:rPr>
            </w:r>
            <w:r w:rsidR="004A2B35">
              <w:rPr>
                <w:noProof/>
                <w:webHidden/>
              </w:rPr>
              <w:fldChar w:fldCharType="separate"/>
            </w:r>
            <w:r w:rsidR="004A2B35">
              <w:rPr>
                <w:noProof/>
                <w:webHidden/>
              </w:rPr>
              <w:t>16</w:t>
            </w:r>
            <w:r w:rsidR="004A2B35">
              <w:rPr>
                <w:noProof/>
                <w:webHidden/>
              </w:rPr>
              <w:fldChar w:fldCharType="end"/>
            </w:r>
          </w:hyperlink>
        </w:p>
        <w:p w14:paraId="12F8CDF6" w14:textId="072544C9"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36" w:history="1">
            <w:r w:rsidR="004A2B35" w:rsidRPr="008D4AA9">
              <w:rPr>
                <w:rStyle w:val="Hyperlink"/>
                <w:rFonts w:cs="Times New Roman"/>
                <w:i/>
                <w:iCs/>
                <w:noProof/>
              </w:rPr>
              <w:t>Example 2)</w:t>
            </w:r>
            <w:r w:rsidR="004A2B35" w:rsidRPr="008D4AA9">
              <w:rPr>
                <w:rStyle w:val="Hyperlink"/>
                <w:rFonts w:eastAsiaTheme="minorHAnsi" w:cs="Times New Roman"/>
                <w:noProof/>
                <w:kern w:val="0"/>
                <w:lang w:eastAsia="en-US"/>
              </w:rPr>
              <w:t xml:space="preserve"> </w:t>
            </w:r>
            <w:r w:rsidR="004A2B35" w:rsidRPr="008D4AA9">
              <w:rPr>
                <w:rStyle w:val="Hyperlink"/>
                <w:rFonts w:cs="Times New Roman"/>
                <w:i/>
                <w:iCs/>
                <w:noProof/>
              </w:rPr>
              <w:t xml:space="preserve">Data by Silvestre-Alberto, Silvestre-Alberto, Llewellyn and </w:t>
            </w:r>
            <w:r w:rsidR="004A2B35" w:rsidRPr="008D4AA9">
              <w:rPr>
                <w:rStyle w:val="Hyperlink"/>
                <w:rFonts w:eastAsiaTheme="minorHAnsi" w:cs="Times New Roman"/>
                <w:i/>
                <w:iCs/>
                <w:noProof/>
                <w:kern w:val="0"/>
                <w:lang w:eastAsia="en-US"/>
              </w:rPr>
              <w:t>Rodríguez</w:t>
            </w:r>
            <w:r w:rsidR="004A2B35" w:rsidRPr="008D4AA9">
              <w:rPr>
                <w:rStyle w:val="Hyperlink"/>
                <w:rFonts w:cs="Times New Roman"/>
                <w:i/>
                <w:iCs/>
                <w:noProof/>
              </w:rPr>
              <w:t>-Reinoso:</w:t>
            </w:r>
            <w:r w:rsidR="004A2B35">
              <w:rPr>
                <w:noProof/>
                <w:webHidden/>
              </w:rPr>
              <w:tab/>
            </w:r>
            <w:r w:rsidR="004A2B35">
              <w:rPr>
                <w:noProof/>
                <w:webHidden/>
              </w:rPr>
              <w:fldChar w:fldCharType="begin"/>
            </w:r>
            <w:r w:rsidR="004A2B35">
              <w:rPr>
                <w:noProof/>
                <w:webHidden/>
              </w:rPr>
              <w:instrText xml:space="preserve"> PAGEREF _Toc171582136 \h </w:instrText>
            </w:r>
            <w:r w:rsidR="004A2B35">
              <w:rPr>
                <w:noProof/>
                <w:webHidden/>
              </w:rPr>
            </w:r>
            <w:r w:rsidR="004A2B35">
              <w:rPr>
                <w:noProof/>
                <w:webHidden/>
              </w:rPr>
              <w:fldChar w:fldCharType="separate"/>
            </w:r>
            <w:r w:rsidR="004A2B35">
              <w:rPr>
                <w:noProof/>
                <w:webHidden/>
              </w:rPr>
              <w:t>17</w:t>
            </w:r>
            <w:r w:rsidR="004A2B35">
              <w:rPr>
                <w:noProof/>
                <w:webHidden/>
              </w:rPr>
              <w:fldChar w:fldCharType="end"/>
            </w:r>
          </w:hyperlink>
        </w:p>
        <w:p w14:paraId="6E021036" w14:textId="5D6A5B9E"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37" w:history="1">
            <w:r w:rsidR="004A2B35" w:rsidRPr="008D4AA9">
              <w:rPr>
                <w:rStyle w:val="Hyperlink"/>
                <w:i/>
                <w:iCs/>
                <w:noProof/>
              </w:rPr>
              <w:t>Example 3) The Nguyen and Du Data</w:t>
            </w:r>
            <w:r w:rsidR="004A2B35" w:rsidRPr="008D4AA9">
              <w:rPr>
                <w:rStyle w:val="Hyperlink"/>
                <w:noProof/>
              </w:rPr>
              <w:t>.</w:t>
            </w:r>
            <w:r w:rsidR="004A2B35">
              <w:rPr>
                <w:noProof/>
                <w:webHidden/>
              </w:rPr>
              <w:tab/>
            </w:r>
            <w:r w:rsidR="004A2B35">
              <w:rPr>
                <w:noProof/>
                <w:webHidden/>
              </w:rPr>
              <w:fldChar w:fldCharType="begin"/>
            </w:r>
            <w:r w:rsidR="004A2B35">
              <w:rPr>
                <w:noProof/>
                <w:webHidden/>
              </w:rPr>
              <w:instrText xml:space="preserve"> PAGEREF _Toc171582137 \h </w:instrText>
            </w:r>
            <w:r w:rsidR="004A2B35">
              <w:rPr>
                <w:noProof/>
                <w:webHidden/>
              </w:rPr>
            </w:r>
            <w:r w:rsidR="004A2B35">
              <w:rPr>
                <w:noProof/>
                <w:webHidden/>
              </w:rPr>
              <w:fldChar w:fldCharType="separate"/>
            </w:r>
            <w:r w:rsidR="004A2B35">
              <w:rPr>
                <w:noProof/>
                <w:webHidden/>
              </w:rPr>
              <w:t>17</w:t>
            </w:r>
            <w:r w:rsidR="004A2B35">
              <w:rPr>
                <w:noProof/>
                <w:webHidden/>
              </w:rPr>
              <w:fldChar w:fldCharType="end"/>
            </w:r>
          </w:hyperlink>
        </w:p>
        <w:p w14:paraId="6034CA25" w14:textId="2CFC70E5"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38" w:history="1">
            <w:r w:rsidR="004A2B35" w:rsidRPr="008D4AA9">
              <w:rPr>
                <w:rStyle w:val="Hyperlink"/>
                <w:i/>
                <w:iCs/>
                <w:noProof/>
              </w:rPr>
              <w:t>Example 4) Thompson’s hydrogen cleaned diamond data</w:t>
            </w:r>
            <w:r w:rsidR="004A2B35" w:rsidRPr="008D4AA9">
              <w:rPr>
                <w:rStyle w:val="Hyperlink"/>
                <w:noProof/>
              </w:rPr>
              <w:t>.</w:t>
            </w:r>
            <w:r w:rsidR="004A2B35">
              <w:rPr>
                <w:noProof/>
                <w:webHidden/>
              </w:rPr>
              <w:tab/>
            </w:r>
            <w:r w:rsidR="004A2B35">
              <w:rPr>
                <w:noProof/>
                <w:webHidden/>
              </w:rPr>
              <w:fldChar w:fldCharType="begin"/>
            </w:r>
            <w:r w:rsidR="004A2B35">
              <w:rPr>
                <w:noProof/>
                <w:webHidden/>
              </w:rPr>
              <w:instrText xml:space="preserve"> PAGEREF _Toc171582138 \h </w:instrText>
            </w:r>
            <w:r w:rsidR="004A2B35">
              <w:rPr>
                <w:noProof/>
                <w:webHidden/>
              </w:rPr>
            </w:r>
            <w:r w:rsidR="004A2B35">
              <w:rPr>
                <w:noProof/>
                <w:webHidden/>
              </w:rPr>
              <w:fldChar w:fldCharType="separate"/>
            </w:r>
            <w:r w:rsidR="004A2B35">
              <w:rPr>
                <w:noProof/>
                <w:webHidden/>
              </w:rPr>
              <w:t>18</w:t>
            </w:r>
            <w:r w:rsidR="004A2B35">
              <w:rPr>
                <w:noProof/>
                <w:webHidden/>
              </w:rPr>
              <w:fldChar w:fldCharType="end"/>
            </w:r>
          </w:hyperlink>
        </w:p>
        <w:p w14:paraId="643BE83F" w14:textId="74D5AACE" w:rsidR="004A2B35" w:rsidRDefault="00000000">
          <w:pPr>
            <w:pStyle w:val="TOC3"/>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39" w:history="1">
            <w:r w:rsidR="004A2B35" w:rsidRPr="008D4AA9">
              <w:rPr>
                <w:rStyle w:val="Hyperlink"/>
                <w:noProof/>
              </w:rPr>
              <w:t>A second Henry’s Law test</w:t>
            </w:r>
            <w:r w:rsidR="004A2B35">
              <w:rPr>
                <w:noProof/>
                <w:webHidden/>
              </w:rPr>
              <w:tab/>
            </w:r>
            <w:r w:rsidR="004A2B35">
              <w:rPr>
                <w:noProof/>
                <w:webHidden/>
              </w:rPr>
              <w:fldChar w:fldCharType="begin"/>
            </w:r>
            <w:r w:rsidR="004A2B35">
              <w:rPr>
                <w:noProof/>
                <w:webHidden/>
              </w:rPr>
              <w:instrText xml:space="preserve"> PAGEREF _Toc171582139 \h </w:instrText>
            </w:r>
            <w:r w:rsidR="004A2B35">
              <w:rPr>
                <w:noProof/>
                <w:webHidden/>
              </w:rPr>
            </w:r>
            <w:r w:rsidR="004A2B35">
              <w:rPr>
                <w:noProof/>
                <w:webHidden/>
              </w:rPr>
              <w:fldChar w:fldCharType="separate"/>
            </w:r>
            <w:r w:rsidR="004A2B35">
              <w:rPr>
                <w:noProof/>
                <w:webHidden/>
              </w:rPr>
              <w:t>19</w:t>
            </w:r>
            <w:r w:rsidR="004A2B35">
              <w:rPr>
                <w:noProof/>
                <w:webHidden/>
              </w:rPr>
              <w:fldChar w:fldCharType="end"/>
            </w:r>
          </w:hyperlink>
        </w:p>
        <w:p w14:paraId="6949ADEC" w14:textId="361E5891"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40" w:history="1">
            <w:r w:rsidR="004A2B35" w:rsidRPr="008D4AA9">
              <w:rPr>
                <w:rStyle w:val="Hyperlink"/>
                <w:i/>
                <w:iCs/>
                <w:noProof/>
              </w:rPr>
              <w:t>Example 5) Data by Thompson of argon on hydrogen cleaned alumina:</w:t>
            </w:r>
            <w:r w:rsidR="004A2B35">
              <w:rPr>
                <w:noProof/>
                <w:webHidden/>
              </w:rPr>
              <w:tab/>
            </w:r>
            <w:r w:rsidR="004A2B35">
              <w:rPr>
                <w:noProof/>
                <w:webHidden/>
              </w:rPr>
              <w:fldChar w:fldCharType="begin"/>
            </w:r>
            <w:r w:rsidR="004A2B35">
              <w:rPr>
                <w:noProof/>
                <w:webHidden/>
              </w:rPr>
              <w:instrText xml:space="preserve"> PAGEREF _Toc171582140 \h </w:instrText>
            </w:r>
            <w:r w:rsidR="004A2B35">
              <w:rPr>
                <w:noProof/>
                <w:webHidden/>
              </w:rPr>
            </w:r>
            <w:r w:rsidR="004A2B35">
              <w:rPr>
                <w:noProof/>
                <w:webHidden/>
              </w:rPr>
              <w:fldChar w:fldCharType="separate"/>
            </w:r>
            <w:r w:rsidR="004A2B35">
              <w:rPr>
                <w:noProof/>
                <w:webHidden/>
              </w:rPr>
              <w:t>20</w:t>
            </w:r>
            <w:r w:rsidR="004A2B35">
              <w:rPr>
                <w:noProof/>
                <w:webHidden/>
              </w:rPr>
              <w:fldChar w:fldCharType="end"/>
            </w:r>
          </w:hyperlink>
        </w:p>
        <w:p w14:paraId="4AA22C4C" w14:textId="79962D08"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41" w:history="1">
            <w:r w:rsidR="004A2B35" w:rsidRPr="008D4AA9">
              <w:rPr>
                <w:rStyle w:val="Hyperlink"/>
                <w:rFonts w:cs="Times New Roman"/>
                <w:i/>
                <w:noProof/>
              </w:rPr>
              <w:t>Example 6) Alternate “Henry’s law” test:</w:t>
            </w:r>
            <w:r w:rsidR="004A2B35">
              <w:rPr>
                <w:noProof/>
                <w:webHidden/>
              </w:rPr>
              <w:tab/>
            </w:r>
            <w:r w:rsidR="004A2B35">
              <w:rPr>
                <w:noProof/>
                <w:webHidden/>
              </w:rPr>
              <w:fldChar w:fldCharType="begin"/>
            </w:r>
            <w:r w:rsidR="004A2B35">
              <w:rPr>
                <w:noProof/>
                <w:webHidden/>
              </w:rPr>
              <w:instrText xml:space="preserve"> PAGEREF _Toc171582141 \h </w:instrText>
            </w:r>
            <w:r w:rsidR="004A2B35">
              <w:rPr>
                <w:noProof/>
                <w:webHidden/>
              </w:rPr>
            </w:r>
            <w:r w:rsidR="004A2B35">
              <w:rPr>
                <w:noProof/>
                <w:webHidden/>
              </w:rPr>
              <w:fldChar w:fldCharType="separate"/>
            </w:r>
            <w:r w:rsidR="004A2B35">
              <w:rPr>
                <w:noProof/>
                <w:webHidden/>
              </w:rPr>
              <w:t>21</w:t>
            </w:r>
            <w:r w:rsidR="004A2B35">
              <w:rPr>
                <w:noProof/>
                <w:webHidden/>
              </w:rPr>
              <w:fldChar w:fldCharType="end"/>
            </w:r>
          </w:hyperlink>
        </w:p>
        <w:p w14:paraId="4A8A3939" w14:textId="0A397034"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42" w:history="1">
            <w:r w:rsidR="004A2B35" w:rsidRPr="008D4AA9">
              <w:rPr>
                <w:rStyle w:val="Hyperlink"/>
                <w:rFonts w:cs="Times New Roman"/>
                <w:i/>
                <w:iCs/>
                <w:noProof/>
              </w:rPr>
              <w:t>Conclusion about “threshold quantities” – a disproof of “Henry’s Law”:</w:t>
            </w:r>
            <w:r w:rsidR="004A2B35">
              <w:rPr>
                <w:noProof/>
                <w:webHidden/>
              </w:rPr>
              <w:tab/>
            </w:r>
            <w:r w:rsidR="004A2B35">
              <w:rPr>
                <w:noProof/>
                <w:webHidden/>
              </w:rPr>
              <w:fldChar w:fldCharType="begin"/>
            </w:r>
            <w:r w:rsidR="004A2B35">
              <w:rPr>
                <w:noProof/>
                <w:webHidden/>
              </w:rPr>
              <w:instrText xml:space="preserve"> PAGEREF _Toc171582142 \h </w:instrText>
            </w:r>
            <w:r w:rsidR="004A2B35">
              <w:rPr>
                <w:noProof/>
                <w:webHidden/>
              </w:rPr>
            </w:r>
            <w:r w:rsidR="004A2B35">
              <w:rPr>
                <w:noProof/>
                <w:webHidden/>
              </w:rPr>
              <w:fldChar w:fldCharType="separate"/>
            </w:r>
            <w:r w:rsidR="004A2B35">
              <w:rPr>
                <w:noProof/>
                <w:webHidden/>
              </w:rPr>
              <w:t>22</w:t>
            </w:r>
            <w:r w:rsidR="004A2B35">
              <w:rPr>
                <w:noProof/>
                <w:webHidden/>
              </w:rPr>
              <w:fldChar w:fldCharType="end"/>
            </w:r>
          </w:hyperlink>
        </w:p>
        <w:p w14:paraId="33C222D7" w14:textId="23A9357D" w:rsidR="004A2B35" w:rsidRDefault="00000000">
          <w:pPr>
            <w:pStyle w:val="TOC1"/>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43" w:history="1">
            <w:r w:rsidR="004A2B35" w:rsidRPr="008D4AA9">
              <w:rPr>
                <w:rStyle w:val="Hyperlink"/>
                <w:b/>
                <w:bCs/>
                <w:noProof/>
              </w:rPr>
              <w:t>Part IV Correlation between BET results and the quantum mechanical expected results</w:t>
            </w:r>
            <w:r w:rsidR="004A2B35" w:rsidRPr="008D4AA9">
              <w:rPr>
                <w:rStyle w:val="Hyperlink"/>
                <w:noProof/>
              </w:rPr>
              <w:t>:</w:t>
            </w:r>
            <w:r w:rsidR="004A2B35">
              <w:rPr>
                <w:noProof/>
                <w:webHidden/>
              </w:rPr>
              <w:tab/>
            </w:r>
            <w:r w:rsidR="004A2B35">
              <w:rPr>
                <w:noProof/>
                <w:webHidden/>
              </w:rPr>
              <w:fldChar w:fldCharType="begin"/>
            </w:r>
            <w:r w:rsidR="004A2B35">
              <w:rPr>
                <w:noProof/>
                <w:webHidden/>
              </w:rPr>
              <w:instrText xml:space="preserve"> PAGEREF _Toc171582143 \h </w:instrText>
            </w:r>
            <w:r w:rsidR="004A2B35">
              <w:rPr>
                <w:noProof/>
                <w:webHidden/>
              </w:rPr>
            </w:r>
            <w:r w:rsidR="004A2B35">
              <w:rPr>
                <w:noProof/>
                <w:webHidden/>
              </w:rPr>
              <w:fldChar w:fldCharType="separate"/>
            </w:r>
            <w:r w:rsidR="004A2B35">
              <w:rPr>
                <w:noProof/>
                <w:webHidden/>
              </w:rPr>
              <w:t>23</w:t>
            </w:r>
            <w:r w:rsidR="004A2B35">
              <w:rPr>
                <w:noProof/>
                <w:webHidden/>
              </w:rPr>
              <w:fldChar w:fldCharType="end"/>
            </w:r>
          </w:hyperlink>
        </w:p>
        <w:p w14:paraId="39BF517F" w14:textId="62336002"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44" w:history="1">
            <w:r w:rsidR="004A2B35" w:rsidRPr="008D4AA9">
              <w:rPr>
                <w:rStyle w:val="Hyperlink"/>
                <w:i/>
                <w:iCs/>
                <w:noProof/>
              </w:rPr>
              <w:t>How to read the tables:</w:t>
            </w:r>
            <w:r w:rsidR="004A2B35">
              <w:rPr>
                <w:noProof/>
                <w:webHidden/>
              </w:rPr>
              <w:tab/>
            </w:r>
            <w:r w:rsidR="004A2B35">
              <w:rPr>
                <w:noProof/>
                <w:webHidden/>
              </w:rPr>
              <w:fldChar w:fldCharType="begin"/>
            </w:r>
            <w:r w:rsidR="004A2B35">
              <w:rPr>
                <w:noProof/>
                <w:webHidden/>
              </w:rPr>
              <w:instrText xml:space="preserve"> PAGEREF _Toc171582144 \h </w:instrText>
            </w:r>
            <w:r w:rsidR="004A2B35">
              <w:rPr>
                <w:noProof/>
                <w:webHidden/>
              </w:rPr>
            </w:r>
            <w:r w:rsidR="004A2B35">
              <w:rPr>
                <w:noProof/>
                <w:webHidden/>
              </w:rPr>
              <w:fldChar w:fldCharType="separate"/>
            </w:r>
            <w:r w:rsidR="004A2B35">
              <w:rPr>
                <w:noProof/>
                <w:webHidden/>
              </w:rPr>
              <w:t>24</w:t>
            </w:r>
            <w:r w:rsidR="004A2B35">
              <w:rPr>
                <w:noProof/>
                <w:webHidden/>
              </w:rPr>
              <w:fldChar w:fldCharType="end"/>
            </w:r>
          </w:hyperlink>
        </w:p>
        <w:p w14:paraId="7BA6423C" w14:textId="63C31B38"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45" w:history="1">
            <w:r w:rsidR="004A2B35" w:rsidRPr="008D4AA9">
              <w:rPr>
                <w:rStyle w:val="Hyperlink"/>
                <w:i/>
                <w:iCs/>
                <w:noProof/>
              </w:rPr>
              <w:t>Conversion: - the Rouquerol convention</w:t>
            </w:r>
            <w:r w:rsidR="004A2B35" w:rsidRPr="008D4AA9">
              <w:rPr>
                <w:rStyle w:val="Hyperlink"/>
                <w:noProof/>
              </w:rPr>
              <w:t>.</w:t>
            </w:r>
            <w:r w:rsidR="004A2B35">
              <w:rPr>
                <w:noProof/>
                <w:webHidden/>
              </w:rPr>
              <w:tab/>
            </w:r>
            <w:r w:rsidR="004A2B35">
              <w:rPr>
                <w:noProof/>
                <w:webHidden/>
              </w:rPr>
              <w:fldChar w:fldCharType="begin"/>
            </w:r>
            <w:r w:rsidR="004A2B35">
              <w:rPr>
                <w:noProof/>
                <w:webHidden/>
              </w:rPr>
              <w:instrText xml:space="preserve"> PAGEREF _Toc171582145 \h </w:instrText>
            </w:r>
            <w:r w:rsidR="004A2B35">
              <w:rPr>
                <w:noProof/>
                <w:webHidden/>
              </w:rPr>
            </w:r>
            <w:r w:rsidR="004A2B35">
              <w:rPr>
                <w:noProof/>
                <w:webHidden/>
              </w:rPr>
              <w:fldChar w:fldCharType="separate"/>
            </w:r>
            <w:r w:rsidR="004A2B35">
              <w:rPr>
                <w:noProof/>
                <w:webHidden/>
              </w:rPr>
              <w:t>24</w:t>
            </w:r>
            <w:r w:rsidR="004A2B35">
              <w:rPr>
                <w:noProof/>
                <w:webHidden/>
              </w:rPr>
              <w:fldChar w:fldCharType="end"/>
            </w:r>
          </w:hyperlink>
        </w:p>
        <w:p w14:paraId="3447F47B" w14:textId="6801E42A"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46" w:history="1">
            <w:r w:rsidR="004A2B35" w:rsidRPr="008D4AA9">
              <w:rPr>
                <w:rStyle w:val="Hyperlink"/>
                <w:rFonts w:eastAsiaTheme="minorHAnsi" w:cs="Times New Roman"/>
                <w:b/>
                <w:bCs/>
                <w:noProof/>
                <w:kern w:val="0"/>
                <w:lang w:eastAsia="en-US"/>
              </w:rPr>
              <w:t>Table II</w:t>
            </w:r>
            <w:r w:rsidR="004A2B35" w:rsidRPr="008D4AA9">
              <w:rPr>
                <w:rStyle w:val="Hyperlink"/>
                <w:rFonts w:eastAsiaTheme="minorHAnsi" w:cs="Times New Roman"/>
                <w:noProof/>
                <w:kern w:val="0"/>
                <w:lang w:eastAsia="en-US"/>
              </w:rPr>
              <w:t xml:space="preserve"> Comparison of the BET versus χ monolayer equivalences using the “old” BET convention and traditional linear fit for the range selection,</w:t>
            </w:r>
            <w:r w:rsidR="004A2B35" w:rsidRPr="008D4AA9">
              <w:rPr>
                <w:rStyle w:val="Hyperlink"/>
                <w:noProof/>
              </w:rPr>
              <w:t xml:space="preserve"> 0.01&lt; </w:t>
            </w:r>
            <w:r w:rsidR="004A2B35" w:rsidRPr="008D4AA9">
              <w:rPr>
                <w:rStyle w:val="Hyperlink"/>
                <w:i/>
                <w:iCs/>
                <w:noProof/>
              </w:rPr>
              <w:t>P</w:t>
            </w:r>
            <w:r w:rsidR="004A2B35" w:rsidRPr="008D4AA9">
              <w:rPr>
                <w:rStyle w:val="Hyperlink"/>
                <w:noProof/>
              </w:rPr>
              <w:t>/</w:t>
            </w:r>
            <w:r w:rsidR="004A2B35" w:rsidRPr="008D4AA9">
              <w:rPr>
                <w:rStyle w:val="Hyperlink"/>
                <w:i/>
                <w:iCs/>
                <w:noProof/>
              </w:rPr>
              <w:t>P</w:t>
            </w:r>
            <w:r w:rsidR="004A2B35" w:rsidRPr="008D4AA9">
              <w:rPr>
                <w:rStyle w:val="Hyperlink"/>
                <w:noProof/>
                <w:vertAlign w:val="subscript"/>
              </w:rPr>
              <w:t>vap</w:t>
            </w:r>
            <w:r w:rsidR="004A2B35" w:rsidRPr="008D4AA9">
              <w:rPr>
                <w:rStyle w:val="Hyperlink"/>
                <w:noProof/>
              </w:rPr>
              <w:t xml:space="preserve"> &lt; 0.35</w:t>
            </w:r>
            <w:r w:rsidR="004A2B35" w:rsidRPr="008D4AA9">
              <w:rPr>
                <w:rStyle w:val="Hyperlink"/>
                <w:rFonts w:eastAsiaTheme="minorHAnsi" w:cs="Times New Roman"/>
                <w:noProof/>
                <w:kern w:val="0"/>
                <w:lang w:eastAsia="en-US"/>
              </w:rPr>
              <w:t>.  (χ is full range.)</w:t>
            </w:r>
            <w:r w:rsidR="004A2B35">
              <w:rPr>
                <w:noProof/>
                <w:webHidden/>
              </w:rPr>
              <w:tab/>
            </w:r>
            <w:r w:rsidR="004A2B35">
              <w:rPr>
                <w:noProof/>
                <w:webHidden/>
              </w:rPr>
              <w:fldChar w:fldCharType="begin"/>
            </w:r>
            <w:r w:rsidR="004A2B35">
              <w:rPr>
                <w:noProof/>
                <w:webHidden/>
              </w:rPr>
              <w:instrText xml:space="preserve"> PAGEREF _Toc171582146 \h </w:instrText>
            </w:r>
            <w:r w:rsidR="004A2B35">
              <w:rPr>
                <w:noProof/>
                <w:webHidden/>
              </w:rPr>
            </w:r>
            <w:r w:rsidR="004A2B35">
              <w:rPr>
                <w:noProof/>
                <w:webHidden/>
              </w:rPr>
              <w:fldChar w:fldCharType="separate"/>
            </w:r>
            <w:r w:rsidR="004A2B35">
              <w:rPr>
                <w:noProof/>
                <w:webHidden/>
              </w:rPr>
              <w:t>25</w:t>
            </w:r>
            <w:r w:rsidR="004A2B35">
              <w:rPr>
                <w:noProof/>
                <w:webHidden/>
              </w:rPr>
              <w:fldChar w:fldCharType="end"/>
            </w:r>
          </w:hyperlink>
        </w:p>
        <w:p w14:paraId="477ACFC0" w14:textId="510A9555"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47" w:history="1">
            <w:r w:rsidR="004A2B35" w:rsidRPr="008D4AA9">
              <w:rPr>
                <w:rStyle w:val="Hyperlink"/>
                <w:rFonts w:eastAsiaTheme="minorHAnsi" w:cs="Times New Roman"/>
                <w:b/>
                <w:bCs/>
                <w:noProof/>
                <w:kern w:val="0"/>
                <w:lang w:eastAsia="en-US"/>
              </w:rPr>
              <w:t>Table III</w:t>
            </w:r>
            <w:r w:rsidR="004A2B35" w:rsidRPr="008D4AA9">
              <w:rPr>
                <w:rStyle w:val="Hyperlink"/>
                <w:rFonts w:eastAsiaTheme="minorHAnsi" w:cs="Times New Roman"/>
                <w:noProof/>
                <w:kern w:val="0"/>
                <w:lang w:eastAsia="en-US"/>
              </w:rPr>
              <w:t xml:space="preserve">: The ratio and relationship between χ monolayer equivalence and the BET monolayer equivalence.  The traditional transform method and the “new” (Rouquerol) criterion are used.  Lower limit is set at </w:t>
            </w:r>
            <w:r w:rsidR="004A2B35" w:rsidRPr="008D4AA9">
              <w:rPr>
                <w:rStyle w:val="Hyperlink"/>
                <w:rFonts w:eastAsiaTheme="minorHAnsi" w:cs="Times New Roman"/>
                <w:i/>
                <w:iCs/>
                <w:noProof/>
                <w:kern w:val="0"/>
                <w:lang w:eastAsia="en-US"/>
              </w:rPr>
              <w:t>X</w:t>
            </w:r>
            <w:r w:rsidR="004A2B35" w:rsidRPr="008D4AA9">
              <w:rPr>
                <w:rStyle w:val="Hyperlink"/>
                <w:rFonts w:eastAsiaTheme="minorHAnsi" w:cs="Times New Roman"/>
                <w:noProof/>
                <w:kern w:val="0"/>
                <w:lang w:eastAsia="en-US"/>
              </w:rPr>
              <w:t xml:space="preserve"> = 0.01</w:t>
            </w:r>
            <w:r w:rsidR="004A2B35">
              <w:rPr>
                <w:noProof/>
                <w:webHidden/>
              </w:rPr>
              <w:tab/>
            </w:r>
            <w:r w:rsidR="004A2B35">
              <w:rPr>
                <w:noProof/>
                <w:webHidden/>
              </w:rPr>
              <w:fldChar w:fldCharType="begin"/>
            </w:r>
            <w:r w:rsidR="004A2B35">
              <w:rPr>
                <w:noProof/>
                <w:webHidden/>
              </w:rPr>
              <w:instrText xml:space="preserve"> PAGEREF _Toc171582147 \h </w:instrText>
            </w:r>
            <w:r w:rsidR="004A2B35">
              <w:rPr>
                <w:noProof/>
                <w:webHidden/>
              </w:rPr>
            </w:r>
            <w:r w:rsidR="004A2B35">
              <w:rPr>
                <w:noProof/>
                <w:webHidden/>
              </w:rPr>
              <w:fldChar w:fldCharType="separate"/>
            </w:r>
            <w:r w:rsidR="004A2B35">
              <w:rPr>
                <w:noProof/>
                <w:webHidden/>
              </w:rPr>
              <w:t>26</w:t>
            </w:r>
            <w:r w:rsidR="004A2B35">
              <w:rPr>
                <w:noProof/>
                <w:webHidden/>
              </w:rPr>
              <w:fldChar w:fldCharType="end"/>
            </w:r>
          </w:hyperlink>
        </w:p>
        <w:p w14:paraId="4D80D403" w14:textId="42E35538"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48" w:history="1">
            <w:r w:rsidR="004A2B35" w:rsidRPr="008D4AA9">
              <w:rPr>
                <w:rStyle w:val="Hyperlink"/>
                <w:rFonts w:cs="Times New Roman"/>
                <w:i/>
                <w:iCs/>
                <w:noProof/>
              </w:rPr>
              <w:t>Non-Linear Least Squares fit:</w:t>
            </w:r>
            <w:r w:rsidR="004A2B35">
              <w:rPr>
                <w:noProof/>
                <w:webHidden/>
              </w:rPr>
              <w:tab/>
            </w:r>
            <w:r w:rsidR="004A2B35">
              <w:rPr>
                <w:noProof/>
                <w:webHidden/>
              </w:rPr>
              <w:fldChar w:fldCharType="begin"/>
            </w:r>
            <w:r w:rsidR="004A2B35">
              <w:rPr>
                <w:noProof/>
                <w:webHidden/>
              </w:rPr>
              <w:instrText xml:space="preserve"> PAGEREF _Toc171582148 \h </w:instrText>
            </w:r>
            <w:r w:rsidR="004A2B35">
              <w:rPr>
                <w:noProof/>
                <w:webHidden/>
              </w:rPr>
            </w:r>
            <w:r w:rsidR="004A2B35">
              <w:rPr>
                <w:noProof/>
                <w:webHidden/>
              </w:rPr>
              <w:fldChar w:fldCharType="separate"/>
            </w:r>
            <w:r w:rsidR="004A2B35">
              <w:rPr>
                <w:noProof/>
                <w:webHidden/>
              </w:rPr>
              <w:t>26</w:t>
            </w:r>
            <w:r w:rsidR="004A2B35">
              <w:rPr>
                <w:noProof/>
                <w:webHidden/>
              </w:rPr>
              <w:fldChar w:fldCharType="end"/>
            </w:r>
          </w:hyperlink>
        </w:p>
        <w:p w14:paraId="62525A11" w14:textId="10B2131A"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49" w:history="1">
            <w:r w:rsidR="004A2B35" w:rsidRPr="008D4AA9">
              <w:rPr>
                <w:rStyle w:val="Hyperlink"/>
                <w:rFonts w:eastAsiaTheme="minorHAnsi" w:cs="Times New Roman"/>
                <w:b/>
                <w:bCs/>
                <w:noProof/>
                <w:kern w:val="0"/>
                <w:lang w:eastAsia="en-US"/>
              </w:rPr>
              <w:t>Table IV:</w:t>
            </w:r>
            <w:r w:rsidR="004A2B35" w:rsidRPr="008D4AA9">
              <w:rPr>
                <w:rStyle w:val="Hyperlink"/>
                <w:rFonts w:eastAsiaTheme="minorHAnsi" w:cs="Times New Roman"/>
                <w:noProof/>
                <w:kern w:val="0"/>
                <w:lang w:eastAsia="en-US"/>
              </w:rPr>
              <w:t xml:space="preserve"> The ratio and relationship between χ monolayer equivalence and the BET monolayer equivalence.  The fitting uses a non-linear least-squares fit.  This also uses the “new” criterion, but lower limit </w:t>
            </w:r>
            <w:r w:rsidR="004A2B35" w:rsidRPr="008D4AA9">
              <w:rPr>
                <w:rStyle w:val="Hyperlink"/>
                <w:rFonts w:eastAsiaTheme="minorHAnsi" w:cs="Times New Roman"/>
                <w:i/>
                <w:iCs/>
                <w:noProof/>
                <w:kern w:val="0"/>
                <w:lang w:eastAsia="en-US"/>
              </w:rPr>
              <w:t>P</w:t>
            </w:r>
            <w:r w:rsidR="004A2B35" w:rsidRPr="008D4AA9">
              <w:rPr>
                <w:rStyle w:val="Hyperlink"/>
                <w:rFonts w:eastAsiaTheme="minorHAnsi" w:cs="Times New Roman"/>
                <w:noProof/>
                <w:kern w:val="0"/>
                <w:lang w:eastAsia="en-US"/>
              </w:rPr>
              <w:t>/</w:t>
            </w:r>
            <w:r w:rsidR="004A2B35" w:rsidRPr="008D4AA9">
              <w:rPr>
                <w:rStyle w:val="Hyperlink"/>
                <w:rFonts w:eastAsiaTheme="minorHAnsi" w:cs="Times New Roman"/>
                <w:i/>
                <w:iCs/>
                <w:noProof/>
                <w:kern w:val="0"/>
                <w:lang w:eastAsia="en-US"/>
              </w:rPr>
              <w:t>P</w:t>
            </w:r>
            <w:r w:rsidR="004A2B35" w:rsidRPr="008D4AA9">
              <w:rPr>
                <w:rStyle w:val="Hyperlink"/>
                <w:rFonts w:eastAsiaTheme="minorHAnsi" w:cs="Times New Roman"/>
                <w:noProof/>
                <w:kern w:val="0"/>
                <w:vertAlign w:val="subscript"/>
                <w:lang w:eastAsia="en-US"/>
              </w:rPr>
              <w:t>vap</w:t>
            </w:r>
            <w:r w:rsidR="004A2B35" w:rsidRPr="008D4AA9">
              <w:rPr>
                <w:rStyle w:val="Hyperlink"/>
                <w:rFonts w:eastAsiaTheme="minorHAnsi" w:cs="Times New Roman"/>
                <w:noProof/>
                <w:kern w:val="0"/>
                <w:lang w:eastAsia="en-US"/>
              </w:rPr>
              <w:t xml:space="preserve"> = 0.01 or </w:t>
            </w:r>
            <w:r w:rsidR="004A2B35" w:rsidRPr="008D4AA9">
              <w:rPr>
                <w:rStyle w:val="Hyperlink"/>
                <w:rFonts w:eastAsiaTheme="minorHAnsi" w:cs="Times New Roman"/>
                <w:i/>
                <w:iCs/>
                <w:noProof/>
                <w:kern w:val="0"/>
                <w:lang w:eastAsia="en-US"/>
              </w:rPr>
              <w:t>P = P</w:t>
            </w:r>
            <w:r w:rsidR="004A2B35" w:rsidRPr="008D4AA9">
              <w:rPr>
                <w:rStyle w:val="Hyperlink"/>
                <w:rFonts w:eastAsiaTheme="minorHAnsi" w:cs="Times New Roman"/>
                <w:noProof/>
                <w:kern w:val="0"/>
                <w:vertAlign w:val="subscript"/>
                <w:lang w:eastAsia="en-US"/>
              </w:rPr>
              <w:t>ς</w:t>
            </w:r>
            <w:r w:rsidR="004A2B35" w:rsidRPr="008D4AA9">
              <w:rPr>
                <w:rStyle w:val="Hyperlink"/>
                <w:rFonts w:eastAsiaTheme="minorHAnsi" w:cs="Times New Roman"/>
                <w:noProof/>
                <w:kern w:val="0"/>
                <w:lang w:eastAsia="en-US"/>
              </w:rPr>
              <w:t>., whichever is greater.</w:t>
            </w:r>
            <w:r w:rsidR="004A2B35">
              <w:rPr>
                <w:noProof/>
                <w:webHidden/>
              </w:rPr>
              <w:tab/>
            </w:r>
            <w:r w:rsidR="004A2B35">
              <w:rPr>
                <w:noProof/>
                <w:webHidden/>
              </w:rPr>
              <w:fldChar w:fldCharType="begin"/>
            </w:r>
            <w:r w:rsidR="004A2B35">
              <w:rPr>
                <w:noProof/>
                <w:webHidden/>
              </w:rPr>
              <w:instrText xml:space="preserve"> PAGEREF _Toc171582149 \h </w:instrText>
            </w:r>
            <w:r w:rsidR="004A2B35">
              <w:rPr>
                <w:noProof/>
                <w:webHidden/>
              </w:rPr>
            </w:r>
            <w:r w:rsidR="004A2B35">
              <w:rPr>
                <w:noProof/>
                <w:webHidden/>
              </w:rPr>
              <w:fldChar w:fldCharType="separate"/>
            </w:r>
            <w:r w:rsidR="004A2B35">
              <w:rPr>
                <w:noProof/>
                <w:webHidden/>
              </w:rPr>
              <w:t>27</w:t>
            </w:r>
            <w:r w:rsidR="004A2B35">
              <w:rPr>
                <w:noProof/>
                <w:webHidden/>
              </w:rPr>
              <w:fldChar w:fldCharType="end"/>
            </w:r>
          </w:hyperlink>
        </w:p>
        <w:p w14:paraId="0C563C5C" w14:textId="7D0160C2" w:rsidR="004A2B35" w:rsidRDefault="00000000">
          <w:pPr>
            <w:pStyle w:val="TOC1"/>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50" w:history="1">
            <w:r w:rsidR="004A2B35" w:rsidRPr="008D4AA9">
              <w:rPr>
                <w:rStyle w:val="Hyperlink"/>
                <w:b/>
                <w:bCs/>
                <w:noProof/>
              </w:rPr>
              <w:t>Discussion:</w:t>
            </w:r>
            <w:r w:rsidR="004A2B35">
              <w:rPr>
                <w:noProof/>
                <w:webHidden/>
              </w:rPr>
              <w:tab/>
            </w:r>
            <w:r w:rsidR="004A2B35">
              <w:rPr>
                <w:noProof/>
                <w:webHidden/>
              </w:rPr>
              <w:fldChar w:fldCharType="begin"/>
            </w:r>
            <w:r w:rsidR="004A2B35">
              <w:rPr>
                <w:noProof/>
                <w:webHidden/>
              </w:rPr>
              <w:instrText xml:space="preserve"> PAGEREF _Toc171582150 \h </w:instrText>
            </w:r>
            <w:r w:rsidR="004A2B35">
              <w:rPr>
                <w:noProof/>
                <w:webHidden/>
              </w:rPr>
            </w:r>
            <w:r w:rsidR="004A2B35">
              <w:rPr>
                <w:noProof/>
                <w:webHidden/>
              </w:rPr>
              <w:fldChar w:fldCharType="separate"/>
            </w:r>
            <w:r w:rsidR="004A2B35">
              <w:rPr>
                <w:noProof/>
                <w:webHidden/>
              </w:rPr>
              <w:t>28</w:t>
            </w:r>
            <w:r w:rsidR="004A2B35">
              <w:rPr>
                <w:noProof/>
                <w:webHidden/>
              </w:rPr>
              <w:fldChar w:fldCharType="end"/>
            </w:r>
          </w:hyperlink>
        </w:p>
        <w:p w14:paraId="63564466" w14:textId="2DF0BE26"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51" w:history="1">
            <w:r w:rsidR="004A2B35" w:rsidRPr="008D4AA9">
              <w:rPr>
                <w:rStyle w:val="Hyperlink"/>
                <w:i/>
                <w:iCs/>
                <w:noProof/>
              </w:rPr>
              <w:t>What this paper reveals:</w:t>
            </w:r>
            <w:r w:rsidR="004A2B35">
              <w:rPr>
                <w:noProof/>
                <w:webHidden/>
              </w:rPr>
              <w:tab/>
            </w:r>
            <w:r w:rsidR="004A2B35">
              <w:rPr>
                <w:noProof/>
                <w:webHidden/>
              </w:rPr>
              <w:fldChar w:fldCharType="begin"/>
            </w:r>
            <w:r w:rsidR="004A2B35">
              <w:rPr>
                <w:noProof/>
                <w:webHidden/>
              </w:rPr>
              <w:instrText xml:space="preserve"> PAGEREF _Toc171582151 \h </w:instrText>
            </w:r>
            <w:r w:rsidR="004A2B35">
              <w:rPr>
                <w:noProof/>
                <w:webHidden/>
              </w:rPr>
            </w:r>
            <w:r w:rsidR="004A2B35">
              <w:rPr>
                <w:noProof/>
                <w:webHidden/>
              </w:rPr>
              <w:fldChar w:fldCharType="separate"/>
            </w:r>
            <w:r w:rsidR="004A2B35">
              <w:rPr>
                <w:noProof/>
                <w:webHidden/>
              </w:rPr>
              <w:t>28</w:t>
            </w:r>
            <w:r w:rsidR="004A2B35">
              <w:rPr>
                <w:noProof/>
                <w:webHidden/>
              </w:rPr>
              <w:fldChar w:fldCharType="end"/>
            </w:r>
          </w:hyperlink>
        </w:p>
        <w:p w14:paraId="7F8AF8FC" w14:textId="1EBBC730"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52" w:history="1">
            <w:r w:rsidR="004A2B35" w:rsidRPr="008D4AA9">
              <w:rPr>
                <w:rStyle w:val="Hyperlink"/>
                <w:i/>
                <w:iCs/>
                <w:noProof/>
              </w:rPr>
              <w:t>Attempts to Standardize – the BETSI project.</w:t>
            </w:r>
            <w:r w:rsidR="004A2B35">
              <w:rPr>
                <w:noProof/>
                <w:webHidden/>
              </w:rPr>
              <w:tab/>
            </w:r>
            <w:r w:rsidR="004A2B35">
              <w:rPr>
                <w:noProof/>
                <w:webHidden/>
              </w:rPr>
              <w:fldChar w:fldCharType="begin"/>
            </w:r>
            <w:r w:rsidR="004A2B35">
              <w:rPr>
                <w:noProof/>
                <w:webHidden/>
              </w:rPr>
              <w:instrText xml:space="preserve"> PAGEREF _Toc171582152 \h </w:instrText>
            </w:r>
            <w:r w:rsidR="004A2B35">
              <w:rPr>
                <w:noProof/>
                <w:webHidden/>
              </w:rPr>
            </w:r>
            <w:r w:rsidR="004A2B35">
              <w:rPr>
                <w:noProof/>
                <w:webHidden/>
              </w:rPr>
              <w:fldChar w:fldCharType="separate"/>
            </w:r>
            <w:r w:rsidR="004A2B35">
              <w:rPr>
                <w:noProof/>
                <w:webHidden/>
              </w:rPr>
              <w:t>28</w:t>
            </w:r>
            <w:r w:rsidR="004A2B35">
              <w:rPr>
                <w:noProof/>
                <w:webHidden/>
              </w:rPr>
              <w:fldChar w:fldCharType="end"/>
            </w:r>
          </w:hyperlink>
        </w:p>
        <w:p w14:paraId="117EC606" w14:textId="2666C986"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53" w:history="1">
            <w:r w:rsidR="004A2B35" w:rsidRPr="008D4AA9">
              <w:rPr>
                <w:rStyle w:val="Hyperlink"/>
                <w:i/>
                <w:iCs/>
                <w:noProof/>
              </w:rPr>
              <w:t>The question of n</w:t>
            </w:r>
            <w:r w:rsidR="004A2B35" w:rsidRPr="008D4AA9">
              <w:rPr>
                <w:rStyle w:val="Hyperlink"/>
                <w:i/>
                <w:iCs/>
                <w:noProof/>
                <w:vertAlign w:val="subscript"/>
              </w:rPr>
              <w:t>m</w:t>
            </w:r>
            <w:r w:rsidR="004A2B35" w:rsidRPr="008D4AA9">
              <w:rPr>
                <w:rStyle w:val="Hyperlink"/>
                <w:i/>
                <w:iCs/>
                <w:noProof/>
              </w:rPr>
              <w:t xml:space="preserve"> conversion to A:</w:t>
            </w:r>
            <w:r w:rsidR="004A2B35">
              <w:rPr>
                <w:noProof/>
                <w:webHidden/>
              </w:rPr>
              <w:tab/>
            </w:r>
            <w:r w:rsidR="004A2B35">
              <w:rPr>
                <w:noProof/>
                <w:webHidden/>
              </w:rPr>
              <w:fldChar w:fldCharType="begin"/>
            </w:r>
            <w:r w:rsidR="004A2B35">
              <w:rPr>
                <w:noProof/>
                <w:webHidden/>
              </w:rPr>
              <w:instrText xml:space="preserve"> PAGEREF _Toc171582153 \h </w:instrText>
            </w:r>
            <w:r w:rsidR="004A2B35">
              <w:rPr>
                <w:noProof/>
                <w:webHidden/>
              </w:rPr>
            </w:r>
            <w:r w:rsidR="004A2B35">
              <w:rPr>
                <w:noProof/>
                <w:webHidden/>
              </w:rPr>
              <w:fldChar w:fldCharType="separate"/>
            </w:r>
            <w:r w:rsidR="004A2B35">
              <w:rPr>
                <w:noProof/>
                <w:webHidden/>
              </w:rPr>
              <w:t>30</w:t>
            </w:r>
            <w:r w:rsidR="004A2B35">
              <w:rPr>
                <w:noProof/>
                <w:webHidden/>
              </w:rPr>
              <w:fldChar w:fldCharType="end"/>
            </w:r>
          </w:hyperlink>
        </w:p>
        <w:p w14:paraId="477F8C00" w14:textId="608C1FDC"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54" w:history="1">
            <w:r w:rsidR="004A2B35" w:rsidRPr="008D4AA9">
              <w:rPr>
                <w:rStyle w:val="Hyperlink"/>
                <w:i/>
                <w:iCs/>
                <w:noProof/>
              </w:rPr>
              <w:t>General Recommendations</w:t>
            </w:r>
            <w:r w:rsidR="004A2B35">
              <w:rPr>
                <w:noProof/>
                <w:webHidden/>
              </w:rPr>
              <w:tab/>
            </w:r>
            <w:r w:rsidR="004A2B35">
              <w:rPr>
                <w:noProof/>
                <w:webHidden/>
              </w:rPr>
              <w:fldChar w:fldCharType="begin"/>
            </w:r>
            <w:r w:rsidR="004A2B35">
              <w:rPr>
                <w:noProof/>
                <w:webHidden/>
              </w:rPr>
              <w:instrText xml:space="preserve"> PAGEREF _Toc171582154 \h </w:instrText>
            </w:r>
            <w:r w:rsidR="004A2B35">
              <w:rPr>
                <w:noProof/>
                <w:webHidden/>
              </w:rPr>
            </w:r>
            <w:r w:rsidR="004A2B35">
              <w:rPr>
                <w:noProof/>
                <w:webHidden/>
              </w:rPr>
              <w:fldChar w:fldCharType="separate"/>
            </w:r>
            <w:r w:rsidR="004A2B35">
              <w:rPr>
                <w:noProof/>
                <w:webHidden/>
              </w:rPr>
              <w:t>30</w:t>
            </w:r>
            <w:r w:rsidR="004A2B35">
              <w:rPr>
                <w:noProof/>
                <w:webHidden/>
              </w:rPr>
              <w:fldChar w:fldCharType="end"/>
            </w:r>
          </w:hyperlink>
        </w:p>
        <w:p w14:paraId="032AC235" w14:textId="45CA64D2" w:rsidR="004A2B35" w:rsidRDefault="00000000">
          <w:pPr>
            <w:pStyle w:val="TOC1"/>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55" w:history="1">
            <w:r w:rsidR="004A2B35" w:rsidRPr="008D4AA9">
              <w:rPr>
                <w:rStyle w:val="Hyperlink"/>
                <w:b/>
                <w:bCs/>
                <w:noProof/>
              </w:rPr>
              <w:t>Conclusion:</w:t>
            </w:r>
            <w:r w:rsidR="004A2B35">
              <w:rPr>
                <w:noProof/>
                <w:webHidden/>
              </w:rPr>
              <w:tab/>
            </w:r>
            <w:r w:rsidR="004A2B35">
              <w:rPr>
                <w:noProof/>
                <w:webHidden/>
              </w:rPr>
              <w:fldChar w:fldCharType="begin"/>
            </w:r>
            <w:r w:rsidR="004A2B35">
              <w:rPr>
                <w:noProof/>
                <w:webHidden/>
              </w:rPr>
              <w:instrText xml:space="preserve"> PAGEREF _Toc171582155 \h </w:instrText>
            </w:r>
            <w:r w:rsidR="004A2B35">
              <w:rPr>
                <w:noProof/>
                <w:webHidden/>
              </w:rPr>
            </w:r>
            <w:r w:rsidR="004A2B35">
              <w:rPr>
                <w:noProof/>
                <w:webHidden/>
              </w:rPr>
              <w:fldChar w:fldCharType="separate"/>
            </w:r>
            <w:r w:rsidR="004A2B35">
              <w:rPr>
                <w:noProof/>
                <w:webHidden/>
              </w:rPr>
              <w:t>31</w:t>
            </w:r>
            <w:r w:rsidR="004A2B35">
              <w:rPr>
                <w:noProof/>
                <w:webHidden/>
              </w:rPr>
              <w:fldChar w:fldCharType="end"/>
            </w:r>
          </w:hyperlink>
        </w:p>
        <w:p w14:paraId="1A691571" w14:textId="464C9767" w:rsidR="004A2B35" w:rsidRDefault="00000000">
          <w:pPr>
            <w:pStyle w:val="TOC1"/>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56" w:history="1">
            <w:r w:rsidR="004A2B35" w:rsidRPr="008D4AA9">
              <w:rPr>
                <w:rStyle w:val="Hyperlink"/>
                <w:b/>
                <w:bCs/>
                <w:noProof/>
              </w:rPr>
              <w:t>Acknowledgements:</w:t>
            </w:r>
            <w:r w:rsidR="004A2B35">
              <w:rPr>
                <w:noProof/>
                <w:webHidden/>
              </w:rPr>
              <w:tab/>
            </w:r>
            <w:r w:rsidR="004A2B35">
              <w:rPr>
                <w:noProof/>
                <w:webHidden/>
              </w:rPr>
              <w:fldChar w:fldCharType="begin"/>
            </w:r>
            <w:r w:rsidR="004A2B35">
              <w:rPr>
                <w:noProof/>
                <w:webHidden/>
              </w:rPr>
              <w:instrText xml:space="preserve"> PAGEREF _Toc171582156 \h </w:instrText>
            </w:r>
            <w:r w:rsidR="004A2B35">
              <w:rPr>
                <w:noProof/>
                <w:webHidden/>
              </w:rPr>
            </w:r>
            <w:r w:rsidR="004A2B35">
              <w:rPr>
                <w:noProof/>
                <w:webHidden/>
              </w:rPr>
              <w:fldChar w:fldCharType="separate"/>
            </w:r>
            <w:r w:rsidR="004A2B35">
              <w:rPr>
                <w:noProof/>
                <w:webHidden/>
              </w:rPr>
              <w:t>32</w:t>
            </w:r>
            <w:r w:rsidR="004A2B35">
              <w:rPr>
                <w:noProof/>
                <w:webHidden/>
              </w:rPr>
              <w:fldChar w:fldCharType="end"/>
            </w:r>
          </w:hyperlink>
        </w:p>
        <w:p w14:paraId="4C684DA5" w14:textId="744F8EF6" w:rsidR="004A2B35" w:rsidRDefault="00000000">
          <w:pPr>
            <w:pStyle w:val="TOC1"/>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57" w:history="1">
            <w:r w:rsidR="004A2B35" w:rsidRPr="008D4AA9">
              <w:rPr>
                <w:rStyle w:val="Hyperlink"/>
                <w:b/>
                <w:bCs/>
                <w:noProof/>
              </w:rPr>
              <w:t>Appendix I - Symbol List:</w:t>
            </w:r>
            <w:r w:rsidR="004A2B35">
              <w:rPr>
                <w:noProof/>
                <w:webHidden/>
              </w:rPr>
              <w:tab/>
            </w:r>
            <w:r w:rsidR="004A2B35">
              <w:rPr>
                <w:noProof/>
                <w:webHidden/>
              </w:rPr>
              <w:fldChar w:fldCharType="begin"/>
            </w:r>
            <w:r w:rsidR="004A2B35">
              <w:rPr>
                <w:noProof/>
                <w:webHidden/>
              </w:rPr>
              <w:instrText xml:space="preserve"> PAGEREF _Toc171582157 \h </w:instrText>
            </w:r>
            <w:r w:rsidR="004A2B35">
              <w:rPr>
                <w:noProof/>
                <w:webHidden/>
              </w:rPr>
            </w:r>
            <w:r w:rsidR="004A2B35">
              <w:rPr>
                <w:noProof/>
                <w:webHidden/>
              </w:rPr>
              <w:fldChar w:fldCharType="separate"/>
            </w:r>
            <w:r w:rsidR="004A2B35">
              <w:rPr>
                <w:noProof/>
                <w:webHidden/>
              </w:rPr>
              <w:t>32</w:t>
            </w:r>
            <w:r w:rsidR="004A2B35">
              <w:rPr>
                <w:noProof/>
                <w:webHidden/>
              </w:rPr>
              <w:fldChar w:fldCharType="end"/>
            </w:r>
          </w:hyperlink>
        </w:p>
        <w:p w14:paraId="58778942" w14:textId="7FEF20A6"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58" w:history="1">
            <w:r w:rsidR="004A2B35" w:rsidRPr="008D4AA9">
              <w:rPr>
                <w:rStyle w:val="Hyperlink"/>
                <w:i/>
                <w:iCs/>
                <w:noProof/>
              </w:rPr>
              <w:t>English Symbols</w:t>
            </w:r>
            <w:r w:rsidR="004A2B35">
              <w:rPr>
                <w:noProof/>
                <w:webHidden/>
              </w:rPr>
              <w:tab/>
            </w:r>
            <w:r w:rsidR="004A2B35">
              <w:rPr>
                <w:noProof/>
                <w:webHidden/>
              </w:rPr>
              <w:fldChar w:fldCharType="begin"/>
            </w:r>
            <w:r w:rsidR="004A2B35">
              <w:rPr>
                <w:noProof/>
                <w:webHidden/>
              </w:rPr>
              <w:instrText xml:space="preserve"> PAGEREF _Toc171582158 \h </w:instrText>
            </w:r>
            <w:r w:rsidR="004A2B35">
              <w:rPr>
                <w:noProof/>
                <w:webHidden/>
              </w:rPr>
            </w:r>
            <w:r w:rsidR="004A2B35">
              <w:rPr>
                <w:noProof/>
                <w:webHidden/>
              </w:rPr>
              <w:fldChar w:fldCharType="separate"/>
            </w:r>
            <w:r w:rsidR="004A2B35">
              <w:rPr>
                <w:noProof/>
                <w:webHidden/>
              </w:rPr>
              <w:t>32</w:t>
            </w:r>
            <w:r w:rsidR="004A2B35">
              <w:rPr>
                <w:noProof/>
                <w:webHidden/>
              </w:rPr>
              <w:fldChar w:fldCharType="end"/>
            </w:r>
          </w:hyperlink>
        </w:p>
        <w:p w14:paraId="7CD98C67" w14:textId="5793DD2D"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59" w:history="1">
            <w:r w:rsidR="004A2B35" w:rsidRPr="008D4AA9">
              <w:rPr>
                <w:rStyle w:val="Hyperlink"/>
                <w:i/>
                <w:iCs/>
                <w:noProof/>
              </w:rPr>
              <w:t>Starting with a Greek letter</w:t>
            </w:r>
            <w:r w:rsidR="004A2B35">
              <w:rPr>
                <w:noProof/>
                <w:webHidden/>
              </w:rPr>
              <w:tab/>
            </w:r>
            <w:r w:rsidR="004A2B35">
              <w:rPr>
                <w:noProof/>
                <w:webHidden/>
              </w:rPr>
              <w:fldChar w:fldCharType="begin"/>
            </w:r>
            <w:r w:rsidR="004A2B35">
              <w:rPr>
                <w:noProof/>
                <w:webHidden/>
              </w:rPr>
              <w:instrText xml:space="preserve"> PAGEREF _Toc171582159 \h </w:instrText>
            </w:r>
            <w:r w:rsidR="004A2B35">
              <w:rPr>
                <w:noProof/>
                <w:webHidden/>
              </w:rPr>
            </w:r>
            <w:r w:rsidR="004A2B35">
              <w:rPr>
                <w:noProof/>
                <w:webHidden/>
              </w:rPr>
              <w:fldChar w:fldCharType="separate"/>
            </w:r>
            <w:r w:rsidR="004A2B35">
              <w:rPr>
                <w:noProof/>
                <w:webHidden/>
              </w:rPr>
              <w:t>33</w:t>
            </w:r>
            <w:r w:rsidR="004A2B35">
              <w:rPr>
                <w:noProof/>
                <w:webHidden/>
              </w:rPr>
              <w:fldChar w:fldCharType="end"/>
            </w:r>
          </w:hyperlink>
        </w:p>
        <w:p w14:paraId="40EC4D0B" w14:textId="7FF2B432"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60" w:history="1">
            <w:r w:rsidR="004A2B35" w:rsidRPr="008D4AA9">
              <w:rPr>
                <w:rStyle w:val="Hyperlink"/>
                <w:i/>
                <w:iCs/>
                <w:noProof/>
              </w:rPr>
              <w:t>Subscripts and Superscripts</w:t>
            </w:r>
            <w:r w:rsidR="004A2B35">
              <w:rPr>
                <w:noProof/>
                <w:webHidden/>
              </w:rPr>
              <w:tab/>
            </w:r>
            <w:r w:rsidR="004A2B35">
              <w:rPr>
                <w:noProof/>
                <w:webHidden/>
              </w:rPr>
              <w:fldChar w:fldCharType="begin"/>
            </w:r>
            <w:r w:rsidR="004A2B35">
              <w:rPr>
                <w:noProof/>
                <w:webHidden/>
              </w:rPr>
              <w:instrText xml:space="preserve"> PAGEREF _Toc171582160 \h </w:instrText>
            </w:r>
            <w:r w:rsidR="004A2B35">
              <w:rPr>
                <w:noProof/>
                <w:webHidden/>
              </w:rPr>
            </w:r>
            <w:r w:rsidR="004A2B35">
              <w:rPr>
                <w:noProof/>
                <w:webHidden/>
              </w:rPr>
              <w:fldChar w:fldCharType="separate"/>
            </w:r>
            <w:r w:rsidR="004A2B35">
              <w:rPr>
                <w:noProof/>
                <w:webHidden/>
              </w:rPr>
              <w:t>34</w:t>
            </w:r>
            <w:r w:rsidR="004A2B35">
              <w:rPr>
                <w:noProof/>
                <w:webHidden/>
              </w:rPr>
              <w:fldChar w:fldCharType="end"/>
            </w:r>
          </w:hyperlink>
        </w:p>
        <w:p w14:paraId="44548220" w14:textId="44B1C4C3"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61" w:history="1">
            <w:r w:rsidR="004A2B35" w:rsidRPr="008D4AA9">
              <w:rPr>
                <w:rStyle w:val="Hyperlink"/>
                <w:i/>
                <w:iCs/>
                <w:noProof/>
              </w:rPr>
              <w:t>Other marks</w:t>
            </w:r>
            <w:r w:rsidR="004A2B35" w:rsidRPr="008D4AA9">
              <w:rPr>
                <w:rStyle w:val="Hyperlink"/>
                <w:noProof/>
              </w:rPr>
              <w:t>:</w:t>
            </w:r>
            <w:r w:rsidR="004A2B35">
              <w:rPr>
                <w:noProof/>
                <w:webHidden/>
              </w:rPr>
              <w:tab/>
            </w:r>
            <w:r w:rsidR="004A2B35">
              <w:rPr>
                <w:noProof/>
                <w:webHidden/>
              </w:rPr>
              <w:fldChar w:fldCharType="begin"/>
            </w:r>
            <w:r w:rsidR="004A2B35">
              <w:rPr>
                <w:noProof/>
                <w:webHidden/>
              </w:rPr>
              <w:instrText xml:space="preserve"> PAGEREF _Toc171582161 \h </w:instrText>
            </w:r>
            <w:r w:rsidR="004A2B35">
              <w:rPr>
                <w:noProof/>
                <w:webHidden/>
              </w:rPr>
            </w:r>
            <w:r w:rsidR="004A2B35">
              <w:rPr>
                <w:noProof/>
                <w:webHidden/>
              </w:rPr>
              <w:fldChar w:fldCharType="separate"/>
            </w:r>
            <w:r w:rsidR="004A2B35">
              <w:rPr>
                <w:noProof/>
                <w:webHidden/>
              </w:rPr>
              <w:t>34</w:t>
            </w:r>
            <w:r w:rsidR="004A2B35">
              <w:rPr>
                <w:noProof/>
                <w:webHidden/>
              </w:rPr>
              <w:fldChar w:fldCharType="end"/>
            </w:r>
          </w:hyperlink>
        </w:p>
        <w:p w14:paraId="7910EB60" w14:textId="2310DEC3" w:rsidR="004A2B35" w:rsidRDefault="00000000">
          <w:pPr>
            <w:pStyle w:val="TOC2"/>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62" w:history="1">
            <w:r w:rsidR="004A2B35" w:rsidRPr="008D4AA9">
              <w:rPr>
                <w:rStyle w:val="Hyperlink"/>
                <w:i/>
                <w:iCs/>
                <w:noProof/>
              </w:rPr>
              <w:t>Abbreviations</w:t>
            </w:r>
            <w:r w:rsidR="004A2B35" w:rsidRPr="008D4AA9">
              <w:rPr>
                <w:rStyle w:val="Hyperlink"/>
                <w:noProof/>
              </w:rPr>
              <w:t>:</w:t>
            </w:r>
            <w:r w:rsidR="004A2B35">
              <w:rPr>
                <w:noProof/>
                <w:webHidden/>
              </w:rPr>
              <w:tab/>
            </w:r>
            <w:r w:rsidR="004A2B35">
              <w:rPr>
                <w:noProof/>
                <w:webHidden/>
              </w:rPr>
              <w:fldChar w:fldCharType="begin"/>
            </w:r>
            <w:r w:rsidR="004A2B35">
              <w:rPr>
                <w:noProof/>
                <w:webHidden/>
              </w:rPr>
              <w:instrText xml:space="preserve"> PAGEREF _Toc171582162 \h </w:instrText>
            </w:r>
            <w:r w:rsidR="004A2B35">
              <w:rPr>
                <w:noProof/>
                <w:webHidden/>
              </w:rPr>
            </w:r>
            <w:r w:rsidR="004A2B35">
              <w:rPr>
                <w:noProof/>
                <w:webHidden/>
              </w:rPr>
              <w:fldChar w:fldCharType="separate"/>
            </w:r>
            <w:r w:rsidR="004A2B35">
              <w:rPr>
                <w:noProof/>
                <w:webHidden/>
              </w:rPr>
              <w:t>34</w:t>
            </w:r>
            <w:r w:rsidR="004A2B35">
              <w:rPr>
                <w:noProof/>
                <w:webHidden/>
              </w:rPr>
              <w:fldChar w:fldCharType="end"/>
            </w:r>
          </w:hyperlink>
        </w:p>
        <w:p w14:paraId="1922B558" w14:textId="58906FB9" w:rsidR="004A2B35" w:rsidRDefault="00000000">
          <w:pPr>
            <w:pStyle w:val="TOC1"/>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63" w:history="1">
            <w:r w:rsidR="004A2B35" w:rsidRPr="008D4AA9">
              <w:rPr>
                <w:rStyle w:val="Hyperlink"/>
                <w:rFonts w:cs="Times New Roman"/>
                <w:b/>
                <w:bCs/>
                <w:noProof/>
              </w:rPr>
              <w:t>Appendix II - the “Sing” and “Rouquerol” criteria:</w:t>
            </w:r>
            <w:r w:rsidR="004A2B35">
              <w:rPr>
                <w:noProof/>
                <w:webHidden/>
              </w:rPr>
              <w:tab/>
            </w:r>
            <w:r w:rsidR="004A2B35">
              <w:rPr>
                <w:noProof/>
                <w:webHidden/>
              </w:rPr>
              <w:fldChar w:fldCharType="begin"/>
            </w:r>
            <w:r w:rsidR="004A2B35">
              <w:rPr>
                <w:noProof/>
                <w:webHidden/>
              </w:rPr>
              <w:instrText xml:space="preserve"> PAGEREF _Toc171582163 \h </w:instrText>
            </w:r>
            <w:r w:rsidR="004A2B35">
              <w:rPr>
                <w:noProof/>
                <w:webHidden/>
              </w:rPr>
            </w:r>
            <w:r w:rsidR="004A2B35">
              <w:rPr>
                <w:noProof/>
                <w:webHidden/>
              </w:rPr>
              <w:fldChar w:fldCharType="separate"/>
            </w:r>
            <w:r w:rsidR="004A2B35">
              <w:rPr>
                <w:noProof/>
                <w:webHidden/>
              </w:rPr>
              <w:t>35</w:t>
            </w:r>
            <w:r w:rsidR="004A2B35">
              <w:rPr>
                <w:noProof/>
                <w:webHidden/>
              </w:rPr>
              <w:fldChar w:fldCharType="end"/>
            </w:r>
          </w:hyperlink>
        </w:p>
        <w:p w14:paraId="6393A0FF" w14:textId="218BD06D" w:rsidR="004A2B35" w:rsidRDefault="00000000">
          <w:pPr>
            <w:pStyle w:val="TOC1"/>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64" w:history="1">
            <w:r w:rsidR="004A2B35" w:rsidRPr="008D4AA9">
              <w:rPr>
                <w:rStyle w:val="Hyperlink"/>
                <w:rFonts w:cs="Times New Roman"/>
                <w:b/>
                <w:bCs/>
                <w:iCs/>
                <w:noProof/>
              </w:rPr>
              <w:t>Appendix</w:t>
            </w:r>
            <w:r w:rsidR="004A2B35" w:rsidRPr="008D4AA9">
              <w:rPr>
                <w:rStyle w:val="Hyperlink"/>
                <w:rFonts w:cs="Times New Roman"/>
                <w:b/>
                <w:bCs/>
                <w:noProof/>
              </w:rPr>
              <w:t xml:space="preserve"> III</w:t>
            </w:r>
            <w:r w:rsidR="004A2B35" w:rsidRPr="008D4AA9">
              <w:rPr>
                <w:rStyle w:val="Hyperlink"/>
                <w:rFonts w:cs="Times New Roman"/>
                <w:b/>
                <w:bCs/>
                <w:iCs/>
                <w:noProof/>
              </w:rPr>
              <w:t xml:space="preserve"> - What did Arthur Adamson write?</w:t>
            </w:r>
            <w:r w:rsidR="004A2B35">
              <w:rPr>
                <w:noProof/>
                <w:webHidden/>
              </w:rPr>
              <w:tab/>
            </w:r>
            <w:r w:rsidR="004A2B35">
              <w:rPr>
                <w:noProof/>
                <w:webHidden/>
              </w:rPr>
              <w:fldChar w:fldCharType="begin"/>
            </w:r>
            <w:r w:rsidR="004A2B35">
              <w:rPr>
                <w:noProof/>
                <w:webHidden/>
              </w:rPr>
              <w:instrText xml:space="preserve"> PAGEREF _Toc171582164 \h </w:instrText>
            </w:r>
            <w:r w:rsidR="004A2B35">
              <w:rPr>
                <w:noProof/>
                <w:webHidden/>
              </w:rPr>
            </w:r>
            <w:r w:rsidR="004A2B35">
              <w:rPr>
                <w:noProof/>
                <w:webHidden/>
              </w:rPr>
              <w:fldChar w:fldCharType="separate"/>
            </w:r>
            <w:r w:rsidR="004A2B35">
              <w:rPr>
                <w:noProof/>
                <w:webHidden/>
              </w:rPr>
              <w:t>36</w:t>
            </w:r>
            <w:r w:rsidR="004A2B35">
              <w:rPr>
                <w:noProof/>
                <w:webHidden/>
              </w:rPr>
              <w:fldChar w:fldCharType="end"/>
            </w:r>
          </w:hyperlink>
        </w:p>
        <w:p w14:paraId="31944109" w14:textId="4264F945" w:rsidR="004A2B35" w:rsidRDefault="00000000">
          <w:pPr>
            <w:pStyle w:val="TOC1"/>
            <w:tabs>
              <w:tab w:val="right" w:leader="dot" w:pos="9350"/>
            </w:tabs>
            <w:rPr>
              <w:rFonts w:asciiTheme="minorHAnsi" w:eastAsiaTheme="minorEastAsia" w:hAnsiTheme="minorHAnsi" w:cstheme="minorBidi"/>
              <w:noProof/>
              <w:szCs w:val="24"/>
              <w:lang w:eastAsia="en-US" w:bidi="ar-SA"/>
              <w14:ligatures w14:val="standardContextual"/>
            </w:rPr>
          </w:pPr>
          <w:hyperlink w:anchor="_Toc171582165" w:history="1">
            <w:r w:rsidR="004A2B35" w:rsidRPr="008D4AA9">
              <w:rPr>
                <w:rStyle w:val="Hyperlink"/>
                <w:rFonts w:cs="Times New Roman"/>
                <w:b/>
                <w:bCs/>
                <w:noProof/>
              </w:rPr>
              <w:t>References</w:t>
            </w:r>
            <w:r w:rsidR="004A2B35">
              <w:rPr>
                <w:noProof/>
                <w:webHidden/>
              </w:rPr>
              <w:tab/>
            </w:r>
            <w:r w:rsidR="004A2B35">
              <w:rPr>
                <w:noProof/>
                <w:webHidden/>
              </w:rPr>
              <w:fldChar w:fldCharType="begin"/>
            </w:r>
            <w:r w:rsidR="004A2B35">
              <w:rPr>
                <w:noProof/>
                <w:webHidden/>
              </w:rPr>
              <w:instrText xml:space="preserve"> PAGEREF _Toc171582165 \h </w:instrText>
            </w:r>
            <w:r w:rsidR="004A2B35">
              <w:rPr>
                <w:noProof/>
                <w:webHidden/>
              </w:rPr>
            </w:r>
            <w:r w:rsidR="004A2B35">
              <w:rPr>
                <w:noProof/>
                <w:webHidden/>
              </w:rPr>
              <w:fldChar w:fldCharType="separate"/>
            </w:r>
            <w:r w:rsidR="004A2B35">
              <w:rPr>
                <w:noProof/>
                <w:webHidden/>
              </w:rPr>
              <w:t>38</w:t>
            </w:r>
            <w:r w:rsidR="004A2B35">
              <w:rPr>
                <w:noProof/>
                <w:webHidden/>
              </w:rPr>
              <w:fldChar w:fldCharType="end"/>
            </w:r>
          </w:hyperlink>
        </w:p>
        <w:p w14:paraId="66468B67" w14:textId="1F8FCD6A" w:rsidR="00C8234A" w:rsidRDefault="00C8234A">
          <w:r>
            <w:rPr>
              <w:b/>
              <w:bCs/>
              <w:noProof/>
            </w:rPr>
            <w:fldChar w:fldCharType="end"/>
          </w:r>
        </w:p>
      </w:sdtContent>
    </w:sdt>
    <w:p w14:paraId="4ECDF890" w14:textId="77777777" w:rsidR="00C8234A" w:rsidRDefault="00C8234A">
      <w:pPr>
        <w:spacing w:after="160" w:line="259" w:lineRule="auto"/>
        <w:rPr>
          <w:rFonts w:cs="Mangal"/>
          <w:sz w:val="28"/>
          <w:szCs w:val="28"/>
        </w:rPr>
      </w:pPr>
      <w:r>
        <w:rPr>
          <w:sz w:val="28"/>
          <w:szCs w:val="28"/>
        </w:rPr>
        <w:br w:type="page"/>
      </w:r>
    </w:p>
    <w:p w14:paraId="13594FC8" w14:textId="625AC1E9" w:rsidR="00537FF0" w:rsidRPr="00746742" w:rsidRDefault="00746742" w:rsidP="00543A53">
      <w:pPr>
        <w:pStyle w:val="NoSpacing"/>
        <w:jc w:val="center"/>
        <w:rPr>
          <w:sz w:val="28"/>
          <w:szCs w:val="28"/>
        </w:rPr>
      </w:pPr>
      <w:r w:rsidRPr="00746742">
        <w:rPr>
          <w:sz w:val="28"/>
          <w:szCs w:val="28"/>
        </w:rPr>
        <w:lastRenderedPageBreak/>
        <w:t xml:space="preserve">Using </w:t>
      </w:r>
      <w:r w:rsidR="005A322B" w:rsidRPr="00746742">
        <w:rPr>
          <w:sz w:val="28"/>
          <w:szCs w:val="28"/>
        </w:rPr>
        <w:t>Quantum Mechanic</w:t>
      </w:r>
      <w:r w:rsidRPr="00746742">
        <w:rPr>
          <w:sz w:val="28"/>
          <w:szCs w:val="28"/>
        </w:rPr>
        <w:t>s to interpret</w:t>
      </w:r>
      <w:r w:rsidR="005A322B" w:rsidRPr="00746742">
        <w:rPr>
          <w:sz w:val="28"/>
          <w:szCs w:val="28"/>
        </w:rPr>
        <w:t xml:space="preserve"> </w:t>
      </w:r>
      <w:r w:rsidRPr="00746742">
        <w:rPr>
          <w:sz w:val="28"/>
          <w:szCs w:val="28"/>
        </w:rPr>
        <w:t>the output of the BET analysis</w:t>
      </w:r>
    </w:p>
    <w:p w14:paraId="1B8D25DF" w14:textId="4615A9C9" w:rsidR="00673213" w:rsidRDefault="00746742" w:rsidP="00543A53">
      <w:pPr>
        <w:pStyle w:val="NoSpacing"/>
        <w:jc w:val="center"/>
      </w:pPr>
      <w:r>
        <w:t xml:space="preserve">Tables to convert </w:t>
      </w:r>
      <w:r>
        <w:rPr>
          <w:i/>
          <w:iCs/>
        </w:rPr>
        <w:t>A</w:t>
      </w:r>
      <w:r>
        <w:t xml:space="preserve"> and </w:t>
      </w:r>
      <w:r>
        <w:rPr>
          <w:i/>
          <w:iCs/>
        </w:rPr>
        <w:t>C</w:t>
      </w:r>
      <w:r>
        <w:t xml:space="preserve"> to </w:t>
      </w:r>
      <w:r>
        <w:rPr>
          <w:i/>
          <w:iCs/>
        </w:rPr>
        <w:t>n</w:t>
      </w:r>
      <w:r>
        <w:rPr>
          <w:vertAlign w:val="subscript"/>
        </w:rPr>
        <w:t>m</w:t>
      </w:r>
      <w:r>
        <w:t xml:space="preserve"> and </w:t>
      </w:r>
      <w:r>
        <w:rPr>
          <w:i/>
          <w:iCs/>
        </w:rPr>
        <w:t>E</w:t>
      </w:r>
      <w:r>
        <w:rPr>
          <w:vertAlign w:val="subscript"/>
        </w:rPr>
        <w:t>a</w:t>
      </w:r>
      <w:r>
        <w:t>,</w:t>
      </w:r>
    </w:p>
    <w:p w14:paraId="33382089" w14:textId="77777777" w:rsidR="00746742" w:rsidRPr="00746742" w:rsidRDefault="00746742" w:rsidP="00543A53">
      <w:pPr>
        <w:pStyle w:val="NoSpacing"/>
        <w:jc w:val="center"/>
      </w:pPr>
    </w:p>
    <w:p w14:paraId="64566905" w14:textId="4AB84EDB" w:rsidR="00537FF0" w:rsidRDefault="00537FF0" w:rsidP="00543A53">
      <w:pPr>
        <w:pStyle w:val="NoSpacing"/>
        <w:jc w:val="center"/>
      </w:pPr>
      <w:r>
        <w:t>James B. Condon</w:t>
      </w:r>
      <w:r w:rsidR="008813AF">
        <w:rPr>
          <w:rStyle w:val="FootnoteReference"/>
        </w:rPr>
        <w:footnoteReference w:id="2"/>
      </w:r>
    </w:p>
    <w:p w14:paraId="628DF223" w14:textId="77777777" w:rsidR="00537FF0" w:rsidRDefault="00537FF0" w:rsidP="00543A53">
      <w:pPr>
        <w:pStyle w:val="NoSpacing"/>
      </w:pPr>
    </w:p>
    <w:p w14:paraId="7A8F0207" w14:textId="77777777" w:rsidR="00A917DB" w:rsidRDefault="00537FF0" w:rsidP="00C8234A">
      <w:pPr>
        <w:pStyle w:val="NoSpacing"/>
        <w:outlineLvl w:val="0"/>
      </w:pPr>
      <w:bookmarkStart w:id="0" w:name="_Toc171582123"/>
      <w:r w:rsidRPr="00425555">
        <w:rPr>
          <w:b/>
          <w:bCs/>
        </w:rPr>
        <w:t>Abstract</w:t>
      </w:r>
      <w:r>
        <w:rPr>
          <w:b/>
          <w:bCs/>
        </w:rPr>
        <w:t>:</w:t>
      </w:r>
      <w:bookmarkEnd w:id="0"/>
    </w:p>
    <w:p w14:paraId="5B4DB429" w14:textId="77777777" w:rsidR="00A917DB" w:rsidRDefault="00A917DB" w:rsidP="00543A53">
      <w:pPr>
        <w:pStyle w:val="NoSpacing"/>
      </w:pPr>
    </w:p>
    <w:p w14:paraId="20EDE6D4" w14:textId="4EC0D773" w:rsidR="00593F1B" w:rsidRDefault="00A917DB" w:rsidP="00543A53">
      <w:pPr>
        <w:pStyle w:val="NoSpacing"/>
      </w:pPr>
      <w:r>
        <w:t>The Brunauer-Emmitt-Teller</w:t>
      </w:r>
      <w:bookmarkStart w:id="1" w:name="_Ref168930244"/>
      <w:r w:rsidR="006A29B6" w:rsidRPr="00673213">
        <w:rPr>
          <w:rStyle w:val="EndnoteReference"/>
        </w:rPr>
        <w:endnoteReference w:id="1"/>
      </w:r>
      <w:bookmarkEnd w:id="1"/>
      <w:r>
        <w:t xml:space="preserve"> (BET) theory has long been known to be deficient and difficult theoretically to deal with.  In part I of this paper</w:t>
      </w:r>
      <w:r w:rsidR="00873791">
        <w:t>,</w:t>
      </w:r>
      <w:r w:rsidR="00D87DEC">
        <w:t xml:space="preserve"> </w:t>
      </w:r>
      <w:r w:rsidR="007E26D6">
        <w:t xml:space="preserve">one each of </w:t>
      </w:r>
      <w:r w:rsidR="00D87DEC">
        <w:t>theoretical and practical</w:t>
      </w:r>
      <w:r w:rsidR="007E26D6">
        <w:t xml:space="preserve"> problems</w:t>
      </w:r>
      <w:r w:rsidR="00D87DEC">
        <w:t xml:space="preserve"> are</w:t>
      </w:r>
      <w:r>
        <w:t xml:space="preserve"> reviewed.  </w:t>
      </w:r>
      <w:r w:rsidR="002E6F92">
        <w:t xml:space="preserve">The details of these selected problems is presented in Parts II and III.  </w:t>
      </w:r>
      <w:r w:rsidR="007E26D6">
        <w:t>T</w:t>
      </w:r>
      <w:r w:rsidR="00593F1B">
        <w:t>h</w:t>
      </w:r>
      <w:r w:rsidR="00D87DEC">
        <w:t>e</w:t>
      </w:r>
      <w:r w:rsidR="00593F1B">
        <w:t>s</w:t>
      </w:r>
      <w:r w:rsidR="00D87DEC">
        <w:t xml:space="preserve">e </w:t>
      </w:r>
      <w:r w:rsidR="00593F1B" w:rsidRPr="00D87DEC">
        <w:rPr>
          <w:i/>
          <w:iCs/>
        </w:rPr>
        <w:t>should</w:t>
      </w:r>
      <w:r w:rsidR="00593F1B">
        <w:t xml:space="preserve"> </w:t>
      </w:r>
      <w:r w:rsidR="00D87DEC">
        <w:t>suffice</w:t>
      </w:r>
      <w:r w:rsidR="00593F1B">
        <w:t xml:space="preserve"> </w:t>
      </w:r>
      <w:r w:rsidR="00D87DEC">
        <w:t xml:space="preserve">to eliminate the </w:t>
      </w:r>
      <w:r w:rsidR="00593F1B">
        <w:t xml:space="preserve">BET and its derivatives as the standard </w:t>
      </w:r>
      <w:r w:rsidR="00D87DEC">
        <w:t>characterization theory.  However, other evidence in the literature will be cited as supporting evidence.</w:t>
      </w:r>
      <w:r w:rsidR="007E26D6">
        <w:t xml:space="preserve"> </w:t>
      </w:r>
    </w:p>
    <w:p w14:paraId="08769908" w14:textId="77777777" w:rsidR="002E6F92" w:rsidRDefault="002E6F92" w:rsidP="00543A53">
      <w:pPr>
        <w:pStyle w:val="NoSpacing"/>
      </w:pPr>
    </w:p>
    <w:p w14:paraId="5EFB3388" w14:textId="49D26AD9" w:rsidR="002E6F92" w:rsidRPr="002E6F92" w:rsidRDefault="00593F1B" w:rsidP="00543A53">
      <w:pPr>
        <w:pStyle w:val="NoSpacing"/>
      </w:pPr>
      <w:r>
        <w:t>Give</w:t>
      </w:r>
      <w:r w:rsidR="00BB75AD">
        <w:t>n</w:t>
      </w:r>
      <w:r>
        <w:t xml:space="preserve"> th</w:t>
      </w:r>
      <w:r w:rsidR="007E26D6">
        <w:t>ese</w:t>
      </w:r>
      <w:r>
        <w:t xml:space="preserve"> problem</w:t>
      </w:r>
      <w:r w:rsidR="007E26D6">
        <w:t>s</w:t>
      </w:r>
      <w:r>
        <w:t>, the question then becomes, “What should one do with BET results for which there is insufficient data to recalculate?”</w:t>
      </w:r>
      <w:r w:rsidR="000C7991">
        <w:t xml:space="preserve"> </w:t>
      </w:r>
      <w:r w:rsidR="00B667B1">
        <w:t xml:space="preserve"> In part I</w:t>
      </w:r>
      <w:r w:rsidR="002E6F92">
        <w:t>V</w:t>
      </w:r>
      <w:r w:rsidR="00B667B1">
        <w:t xml:space="preserve"> it is proposed that quantum mechanics (QM)</w:t>
      </w:r>
      <w:r w:rsidR="004B3A96">
        <w:t xml:space="preserve"> </w:t>
      </w:r>
      <w:r w:rsidR="005A322B">
        <w:t>perturbation theory</w:t>
      </w:r>
      <w:r w:rsidR="00B667B1">
        <w:t xml:space="preserve">, be used to reassign the two BET parameters </w:t>
      </w:r>
      <w:r w:rsidR="00B667B1">
        <w:rPr>
          <w:i/>
          <w:iCs/>
        </w:rPr>
        <w:t>A</w:t>
      </w:r>
      <w:r w:rsidR="00966261">
        <w:rPr>
          <w:i/>
          <w:iCs/>
        </w:rPr>
        <w:t xml:space="preserve">, </w:t>
      </w:r>
      <w:r w:rsidR="00966261">
        <w:rPr>
          <w:iCs/>
        </w:rPr>
        <w:t>surface area,</w:t>
      </w:r>
      <w:r w:rsidR="00B667B1">
        <w:rPr>
          <w:i/>
          <w:iCs/>
        </w:rPr>
        <w:t xml:space="preserve"> </w:t>
      </w:r>
      <w:r w:rsidR="00B667B1" w:rsidRPr="00B667B1">
        <w:t>and</w:t>
      </w:r>
      <w:r w:rsidR="00B667B1">
        <w:t xml:space="preserve"> </w:t>
      </w:r>
      <w:r w:rsidR="00B667B1">
        <w:rPr>
          <w:i/>
          <w:iCs/>
        </w:rPr>
        <w:t>C</w:t>
      </w:r>
      <w:r w:rsidR="00966261">
        <w:rPr>
          <w:i/>
          <w:iCs/>
        </w:rPr>
        <w:t>,</w:t>
      </w:r>
      <w:r w:rsidR="00966261">
        <w:t xml:space="preserve"> the BET constant,</w:t>
      </w:r>
      <w:r w:rsidR="00B667B1">
        <w:t xml:space="preserve"> b</w:t>
      </w:r>
      <w:r w:rsidR="00E60457">
        <w:t>y</w:t>
      </w:r>
      <w:r w:rsidR="00B667B1">
        <w:t xml:space="preserve"> converted to the values of </w:t>
      </w:r>
      <w:r w:rsidR="00B667B1">
        <w:rPr>
          <w:i/>
          <w:iCs/>
        </w:rPr>
        <w:t>n</w:t>
      </w:r>
      <w:r w:rsidR="00B667B1" w:rsidRPr="00B667B1">
        <w:rPr>
          <w:vertAlign w:val="subscript"/>
        </w:rPr>
        <w:t>m</w:t>
      </w:r>
      <w:r w:rsidR="00966261">
        <w:t>, the monolayer equivalence,</w:t>
      </w:r>
      <w:r w:rsidR="00B667B1">
        <w:t xml:space="preserve"> and </w:t>
      </w:r>
      <w:r w:rsidR="00B667B1">
        <w:rPr>
          <w:i/>
          <w:iCs/>
        </w:rPr>
        <w:t>E</w:t>
      </w:r>
      <w:r w:rsidR="00B667B1" w:rsidRPr="00B667B1">
        <w:rPr>
          <w:vertAlign w:val="subscript"/>
        </w:rPr>
        <w:t>a</w:t>
      </w:r>
      <w:r w:rsidR="00966261">
        <w:t>, the preexponential for the internal energy</w:t>
      </w:r>
      <w:r w:rsidR="00873791">
        <w:t xml:space="preserve">, </w:t>
      </w:r>
      <w:r w:rsidR="00966261">
        <w:rPr>
          <w:b/>
          <w:bCs/>
        </w:rPr>
        <w:t>E</w:t>
      </w:r>
      <w:r w:rsidR="00966261">
        <w:t>(</w:t>
      </w:r>
      <w:r w:rsidR="00966261">
        <w:rPr>
          <w:i/>
          <w:iCs/>
        </w:rPr>
        <w:t>n</w:t>
      </w:r>
      <w:r w:rsidR="00966261" w:rsidRPr="00CA6DA0">
        <w:rPr>
          <w:vertAlign w:val="subscript"/>
        </w:rPr>
        <w:t>ads</w:t>
      </w:r>
      <w:r w:rsidR="00966261">
        <w:t xml:space="preserve">) = </w:t>
      </w:r>
      <w:r w:rsidR="00966261">
        <w:rPr>
          <w:i/>
          <w:iCs/>
        </w:rPr>
        <w:t>E</w:t>
      </w:r>
      <w:r w:rsidR="00966261" w:rsidRPr="00CA6DA0">
        <w:rPr>
          <w:vertAlign w:val="subscript"/>
        </w:rPr>
        <w:t>a</w:t>
      </w:r>
      <w:r w:rsidR="00966261">
        <w:t xml:space="preserve"> </w:t>
      </w:r>
      <w:r w:rsidR="00966261">
        <w:rPr>
          <w:b/>
          <w:bCs/>
        </w:rPr>
        <w:t>exp</w:t>
      </w:r>
      <w:r w:rsidR="00966261">
        <w:t>(</w:t>
      </w:r>
      <w:r w:rsidR="00966261">
        <w:rPr>
          <w:i/>
          <w:iCs/>
        </w:rPr>
        <w:t>n</w:t>
      </w:r>
      <w:r w:rsidR="00966261" w:rsidRPr="00CA6DA0">
        <w:rPr>
          <w:vertAlign w:val="subscript"/>
        </w:rPr>
        <w:t>ads</w:t>
      </w:r>
      <w:r w:rsidR="00966261">
        <w:t>)</w:t>
      </w:r>
      <w:r w:rsidR="00873791">
        <w:t>,</w:t>
      </w:r>
      <w:r w:rsidR="00CA6DA0">
        <w:t xml:space="preserve"> in the QM representation. </w:t>
      </w:r>
      <w:r w:rsidR="00966261">
        <w:t xml:space="preserve"> </w:t>
      </w:r>
      <w:r w:rsidR="00CA6DA0">
        <w:t xml:space="preserve">There is no 1:1 </w:t>
      </w:r>
      <w:r w:rsidR="008E4C5D">
        <w:t xml:space="preserve">mathematical expression </w:t>
      </w:r>
      <w:r w:rsidR="00CA6DA0">
        <w:t xml:space="preserve">between the BET and QM parameters, but the </w:t>
      </w:r>
      <w:r w:rsidR="002E6F92">
        <w:t xml:space="preserve">paired </w:t>
      </w:r>
      <w:r w:rsidR="00CA6DA0">
        <w:t>parameter</w:t>
      </w:r>
      <w:r w:rsidR="0035209B">
        <w:t>s</w:t>
      </w:r>
      <w:r w:rsidR="00CA6DA0">
        <w:t xml:space="preserve"> over a wide range are monotonic to each other, therefore table</w:t>
      </w:r>
      <w:r w:rsidR="0035209B">
        <w:t>s</w:t>
      </w:r>
      <w:r w:rsidR="00CA6DA0">
        <w:t xml:space="preserve"> may be written to </w:t>
      </w:r>
      <w:r w:rsidR="00E60457">
        <w:t>convert</w:t>
      </w:r>
      <w:r w:rsidR="00CA6DA0">
        <w:t>.</w:t>
      </w:r>
      <w:r w:rsidR="002E6F92">
        <w:t xml:space="preserve">  The reason to do this is to provide the correct monolayer equivalence not only for application but correctly analyze the isotherm for other features, such as porosity, that depend upon the value of </w:t>
      </w:r>
      <w:r w:rsidR="002E6F92">
        <w:rPr>
          <w:i/>
          <w:iCs/>
        </w:rPr>
        <w:t>A</w:t>
      </w:r>
      <w:r w:rsidR="002E6F92">
        <w:t>.</w:t>
      </w:r>
    </w:p>
    <w:p w14:paraId="5A641827" w14:textId="77777777" w:rsidR="00CA6DA0" w:rsidRDefault="00CA6DA0" w:rsidP="00543A53">
      <w:pPr>
        <w:pStyle w:val="NoSpacing"/>
      </w:pPr>
    </w:p>
    <w:p w14:paraId="4E753B71" w14:textId="6B9111B9" w:rsidR="00B667B1" w:rsidRDefault="00CA6DA0" w:rsidP="00543A53">
      <w:pPr>
        <w:pStyle w:val="NoSpacing"/>
      </w:pPr>
      <w:r>
        <w:t xml:space="preserve">The correspondence is dependent </w:t>
      </w:r>
      <w:r w:rsidR="00CC7477">
        <w:t>upon the calculation method</w:t>
      </w:r>
      <w:r>
        <w:t xml:space="preserve"> </w:t>
      </w:r>
      <w:r w:rsidR="00CC7477">
        <w:t xml:space="preserve">and </w:t>
      </w:r>
      <w:r>
        <w:t xml:space="preserve">the range selected for the BET </w:t>
      </w:r>
      <w:r w:rsidR="00CC7477">
        <w:t>calculation;</w:t>
      </w:r>
      <w:r>
        <w:t xml:space="preserve"> </w:t>
      </w:r>
      <w:r w:rsidR="00CC7477">
        <w:t>therefore, three tables are created to do the conversion.  The first two method</w:t>
      </w:r>
      <w:r w:rsidR="0035209B">
        <w:t>s</w:t>
      </w:r>
      <w:r w:rsidR="00CC7477">
        <w:t xml:space="preserve"> use the tradition BET transform </w:t>
      </w:r>
      <w:r w:rsidR="00E60457">
        <w:t>and a linear regression to</w:t>
      </w:r>
      <w:r w:rsidR="00CC7477">
        <w:t xml:space="preserve"> fit a straight line.  </w:t>
      </w:r>
      <w:r w:rsidR="00E60457">
        <w:t xml:space="preserve">The third uses a non-linear, least-squares routine.  </w:t>
      </w:r>
      <w:r w:rsidR="00CC7477">
        <w:t>These tables assume:</w:t>
      </w:r>
    </w:p>
    <w:p w14:paraId="1A8E0CF8" w14:textId="77777777" w:rsidR="00001151" w:rsidRDefault="00001151" w:rsidP="00E80D26">
      <w:pPr>
        <w:pStyle w:val="NoSpacing"/>
        <w:numPr>
          <w:ilvl w:val="0"/>
          <w:numId w:val="25"/>
        </w:numPr>
      </w:pPr>
      <w:r>
        <w:t xml:space="preserve">Table 1: </w:t>
      </w:r>
      <w:r w:rsidR="00CC7477">
        <w:t xml:space="preserve">The selected BET range is from 0.01 to 0.35 for </w:t>
      </w:r>
      <w:r w:rsidR="00CC7477" w:rsidRPr="00001151">
        <w:rPr>
          <w:i/>
          <w:iCs/>
        </w:rPr>
        <w:t>P</w:t>
      </w:r>
      <w:r w:rsidR="00CC7477">
        <w:t>/</w:t>
      </w:r>
      <w:r w:rsidR="00CC7477" w:rsidRPr="00001151">
        <w:rPr>
          <w:i/>
          <w:iCs/>
        </w:rPr>
        <w:t>P</w:t>
      </w:r>
      <w:r w:rsidR="00CC7477" w:rsidRPr="00001151">
        <w:rPr>
          <w:vertAlign w:val="subscript"/>
        </w:rPr>
        <w:t>vap</w:t>
      </w:r>
      <w:r w:rsidR="00E60457">
        <w:t xml:space="preserve"> and the traditional BET transform is used with a linear regression</w:t>
      </w:r>
      <w:r>
        <w:t xml:space="preserve">. </w:t>
      </w:r>
    </w:p>
    <w:p w14:paraId="1455A6FE" w14:textId="63D30C18" w:rsidR="00CC7477" w:rsidRDefault="00001151" w:rsidP="00E80D26">
      <w:pPr>
        <w:pStyle w:val="NoSpacing"/>
        <w:numPr>
          <w:ilvl w:val="0"/>
          <w:numId w:val="25"/>
        </w:numPr>
      </w:pPr>
      <w:r>
        <w:t xml:space="preserve">Table 2: </w:t>
      </w:r>
      <w:r w:rsidR="00CC7477">
        <w:t xml:space="preserve">The selected BET range is from 0.01 to </w:t>
      </w:r>
      <w:r w:rsidR="00CC7477" w:rsidRPr="00001151">
        <w:rPr>
          <w:b/>
          <w:bCs/>
        </w:rPr>
        <w:t>max</w:t>
      </w:r>
      <w:r w:rsidR="00CC7477" w:rsidRPr="00001151">
        <w:rPr>
          <w:i/>
          <w:iCs/>
        </w:rPr>
        <w:t xml:space="preserve"> </w:t>
      </w:r>
      <w:r w:rsidR="00CC7477">
        <w:t>[</w:t>
      </w:r>
      <w:proofErr w:type="gramStart"/>
      <w:r w:rsidR="00CC7477" w:rsidRPr="00001151">
        <w:rPr>
          <w:i/>
          <w:iCs/>
        </w:rPr>
        <w:t>n</w:t>
      </w:r>
      <w:r w:rsidR="00CC7477" w:rsidRPr="00001151">
        <w:rPr>
          <w:vertAlign w:val="subscript"/>
        </w:rPr>
        <w:t>ads</w:t>
      </w:r>
      <w:r w:rsidR="00CC7477">
        <w:t>(</w:t>
      </w:r>
      <w:proofErr w:type="gramEnd"/>
      <w:r w:rsidR="00CC7477">
        <w:t>1-</w:t>
      </w:r>
      <w:r w:rsidR="00CC7477" w:rsidRPr="00001151">
        <w:rPr>
          <w:i/>
          <w:iCs/>
        </w:rPr>
        <w:t>P</w:t>
      </w:r>
      <w:r w:rsidR="00CC7477">
        <w:t>/</w:t>
      </w:r>
      <w:r w:rsidR="00CC7477" w:rsidRPr="00001151">
        <w:rPr>
          <w:i/>
          <w:iCs/>
        </w:rPr>
        <w:t>P</w:t>
      </w:r>
      <w:r w:rsidR="00CC7477" w:rsidRPr="00001151">
        <w:rPr>
          <w:vertAlign w:val="subscript"/>
        </w:rPr>
        <w:t xml:space="preserve">vap </w:t>
      </w:r>
      <w:r w:rsidR="00CC7477">
        <w:t>.)]</w:t>
      </w:r>
      <w:r w:rsidR="00E60457">
        <w:t>,</w:t>
      </w:r>
      <w:r>
        <w:t xml:space="preserve"> </w:t>
      </w:r>
      <w:r w:rsidR="00673213">
        <w:t>the “Rouquerol criterion.”</w:t>
      </w:r>
      <w:r w:rsidR="00E60457">
        <w:t xml:space="preserve">  This is analyzed also with a linear regression using the BET transform.</w:t>
      </w:r>
    </w:p>
    <w:p w14:paraId="46B71B93" w14:textId="174F99FC" w:rsidR="00CC7477" w:rsidRDefault="00001151" w:rsidP="00001151">
      <w:pPr>
        <w:pStyle w:val="NoSpacing"/>
        <w:numPr>
          <w:ilvl w:val="0"/>
          <w:numId w:val="25"/>
        </w:numPr>
      </w:pPr>
      <w:r>
        <w:t xml:space="preserve">Table 3: </w:t>
      </w:r>
      <w:r w:rsidR="00CC7477">
        <w:t>The selected range is the same as the 2</w:t>
      </w:r>
      <w:r w:rsidR="00CC7477" w:rsidRPr="00CC7477">
        <w:rPr>
          <w:vertAlign w:val="superscript"/>
        </w:rPr>
        <w:t>nd</w:t>
      </w:r>
      <w:r w:rsidR="00CC7477">
        <w:t xml:space="preserve"> </w:t>
      </w:r>
      <w:r w:rsidR="004B3A96">
        <w:t>choice,</w:t>
      </w:r>
      <w:r w:rsidR="00CC7477">
        <w:t xml:space="preserve"> but a </w:t>
      </w:r>
      <w:r w:rsidR="0035209B">
        <w:t>non-</w:t>
      </w:r>
      <w:r w:rsidR="00CC7477">
        <w:t>linear least squares routin</w:t>
      </w:r>
      <w:r w:rsidR="00F77D98">
        <w:t>e</w:t>
      </w:r>
      <w:r w:rsidR="00CC7477">
        <w:t xml:space="preserve"> is used to fit the data to the BET equation directly</w:t>
      </w:r>
      <w:r w:rsidR="00E60457">
        <w:t xml:space="preserve"> without a transform.</w:t>
      </w:r>
    </w:p>
    <w:p w14:paraId="18E31113" w14:textId="16C76ABC" w:rsidR="0035209B" w:rsidRDefault="00873791" w:rsidP="00543A53">
      <w:pPr>
        <w:pStyle w:val="NoSpacing"/>
      </w:pPr>
      <w:r>
        <w:t xml:space="preserve">In case other conventions were used, the equations to make the conversion are presented.  </w:t>
      </w:r>
      <w:r w:rsidR="0035209B">
        <w:t xml:space="preserve">There is </w:t>
      </w:r>
      <w:r w:rsidR="00986DDF">
        <w:t xml:space="preserve">a </w:t>
      </w:r>
      <w:r w:rsidR="0035209B">
        <w:t>preliminary discussion about the equations use</w:t>
      </w:r>
      <w:r w:rsidR="00001151">
        <w:t>d</w:t>
      </w:r>
      <w:r w:rsidR="0035209B">
        <w:t xml:space="preserve"> in the analysis and the reasons that the BET </w:t>
      </w:r>
      <w:r w:rsidR="007034CF">
        <w:t>should not be a preferred method to report data due to loss of detail.</w:t>
      </w:r>
    </w:p>
    <w:p w14:paraId="579F8B5E" w14:textId="6887B793" w:rsidR="00CC7477" w:rsidRDefault="00CC7477" w:rsidP="00543A53">
      <w:pPr>
        <w:pStyle w:val="NoSpacing"/>
      </w:pPr>
    </w:p>
    <w:p w14:paraId="77B9E00D" w14:textId="66AB8951" w:rsidR="00CC7477" w:rsidRPr="007034CF" w:rsidRDefault="007034CF" w:rsidP="00C8234A">
      <w:pPr>
        <w:pStyle w:val="NoSpacing"/>
        <w:outlineLvl w:val="0"/>
        <w:rPr>
          <w:b/>
          <w:bCs/>
        </w:rPr>
      </w:pPr>
      <w:bookmarkStart w:id="2" w:name="_Toc171582124"/>
      <w:r>
        <w:rPr>
          <w:b/>
          <w:bCs/>
        </w:rPr>
        <w:t>Introduction:</w:t>
      </w:r>
      <w:bookmarkEnd w:id="2"/>
    </w:p>
    <w:p w14:paraId="02A4823B" w14:textId="77777777" w:rsidR="00CC7477" w:rsidRDefault="00CC7477" w:rsidP="00543A53">
      <w:pPr>
        <w:pStyle w:val="NoSpacing"/>
      </w:pPr>
    </w:p>
    <w:p w14:paraId="29CE0E61" w14:textId="3F7FB146" w:rsidR="00CC7477" w:rsidRDefault="007034CF" w:rsidP="00543A53">
      <w:pPr>
        <w:pStyle w:val="NoSpacing"/>
      </w:pPr>
      <w:r>
        <w:t>The Brunauer-Emmitt-Telle</w:t>
      </w:r>
      <w:r w:rsidR="00EE46BE">
        <w:t>r</w:t>
      </w:r>
      <w:r w:rsidR="00EE46BE">
        <w:fldChar w:fldCharType="begin"/>
      </w:r>
      <w:r w:rsidR="00EE46BE">
        <w:instrText xml:space="preserve"> NOTEREF _Ref168930244 \f \h </w:instrText>
      </w:r>
      <w:r w:rsidR="00543A53">
        <w:instrText xml:space="preserve"> \* MERGEFORMAT </w:instrText>
      </w:r>
      <w:r w:rsidR="00EE46BE">
        <w:fldChar w:fldCharType="separate"/>
      </w:r>
      <w:r w:rsidR="00040CA9" w:rsidRPr="00040CA9">
        <w:rPr>
          <w:rStyle w:val="EndnoteReference"/>
        </w:rPr>
        <w:t>1</w:t>
      </w:r>
      <w:r w:rsidR="00EE46BE">
        <w:fldChar w:fldCharType="end"/>
      </w:r>
      <w:r>
        <w:t xml:space="preserve"> (BET) theory has long been known to be deficient and difficult theoretically to deal with.  In part I</w:t>
      </w:r>
      <w:r w:rsidR="00373422">
        <w:t xml:space="preserve"> through III</w:t>
      </w:r>
      <w:r>
        <w:t xml:space="preserve"> of this paper, </w:t>
      </w:r>
      <w:r w:rsidR="00873791">
        <w:t>only two</w:t>
      </w:r>
      <w:r>
        <w:t xml:space="preserve"> theoretical and practical problems will be reviewed.  This should suffice to be a convincing argument that the BET and its </w:t>
      </w:r>
      <w:r>
        <w:lastRenderedPageBreak/>
        <w:t xml:space="preserve">derivatives need to be replaced as the standard method of surface measurement.  </w:t>
      </w:r>
      <w:r w:rsidR="00873791">
        <w:t xml:space="preserve">Why this is important is that the </w:t>
      </w:r>
      <w:r w:rsidR="003C6A7F">
        <w:t xml:space="preserve">area </w:t>
      </w:r>
      <w:r w:rsidR="00873791">
        <w:t>parameter</w:t>
      </w:r>
      <w:r w:rsidR="003C6A7F">
        <w:t>,</w:t>
      </w:r>
      <w:r w:rsidR="00873791">
        <w:t xml:space="preserve"> </w:t>
      </w:r>
      <w:r w:rsidR="00FE7048">
        <w:rPr>
          <w:i/>
          <w:iCs/>
        </w:rPr>
        <w:t>A</w:t>
      </w:r>
      <w:r w:rsidR="003C6A7F">
        <w:rPr>
          <w:i/>
          <w:iCs/>
        </w:rPr>
        <w:t>,</w:t>
      </w:r>
      <w:r w:rsidR="00FE7048">
        <w:t xml:space="preserve"> is</w:t>
      </w:r>
      <w:r w:rsidR="00873791">
        <w:t xml:space="preserve"> use</w:t>
      </w:r>
      <w:r w:rsidR="00FE7048">
        <w:t>d</w:t>
      </w:r>
      <w:r w:rsidR="00873791">
        <w:t xml:space="preserve"> </w:t>
      </w:r>
      <w:r w:rsidR="00FE7048">
        <w:t xml:space="preserve">in other surface and porosity calculations and an error factor from 1/3 to 3 in </w:t>
      </w:r>
      <w:r w:rsidR="00FE7048">
        <w:rPr>
          <w:i/>
          <w:iCs/>
        </w:rPr>
        <w:t>A</w:t>
      </w:r>
      <w:r w:rsidR="00FE7048">
        <w:t xml:space="preserve"> is usually present</w:t>
      </w:r>
      <w:r w:rsidR="00373422">
        <w:t>, depending on the data range selected</w:t>
      </w:r>
      <w:r w:rsidR="00FE7048">
        <w:t xml:space="preserve">.  </w:t>
      </w:r>
      <w:r>
        <w:t xml:space="preserve">If this is correct, then there is a lot of publications for which the answers for surface </w:t>
      </w:r>
      <w:r w:rsidR="00FE7048">
        <w:t>area</w:t>
      </w:r>
      <w:r>
        <w:t xml:space="preserve"> </w:t>
      </w:r>
      <w:r w:rsidR="005A322B">
        <w:t xml:space="preserve">are </w:t>
      </w:r>
      <w:r>
        <w:t xml:space="preserve">invalid.  </w:t>
      </w:r>
      <w:r w:rsidR="00FE7048">
        <w:t>Unfortunately</w:t>
      </w:r>
      <w:r>
        <w:t xml:space="preserve">, </w:t>
      </w:r>
      <w:r w:rsidR="00FE7048">
        <w:t xml:space="preserve">it is normal that </w:t>
      </w:r>
      <w:r>
        <w:t xml:space="preserve">the experimental data is no longer </w:t>
      </w:r>
      <w:r w:rsidRPr="007034CF">
        <w:t>retrievable</w:t>
      </w:r>
      <w:r>
        <w:t>.  The question is, “Can something be done to retrieve the essence of these publications or are they lost forever?”</w:t>
      </w:r>
    </w:p>
    <w:p w14:paraId="69B1477D" w14:textId="77777777" w:rsidR="00CC7477" w:rsidRDefault="00CC7477" w:rsidP="00543A53">
      <w:pPr>
        <w:pStyle w:val="NoSpacing"/>
      </w:pPr>
    </w:p>
    <w:p w14:paraId="61BD0CEF" w14:textId="5D0E909B" w:rsidR="00593F1B" w:rsidRDefault="000C7991" w:rsidP="00543A53">
      <w:pPr>
        <w:pStyle w:val="NoSpacing"/>
        <w:rPr>
          <w:rFonts w:cs="Times New Roman"/>
        </w:rPr>
      </w:pPr>
      <w:r>
        <w:t>To answer this</w:t>
      </w:r>
      <w:r w:rsidR="005F53B1">
        <w:t>,</w:t>
      </w:r>
      <w:r>
        <w:t xml:space="preserve"> one first needs to answer </w:t>
      </w:r>
      <w:r w:rsidR="00986DDF">
        <w:t>a</w:t>
      </w:r>
      <w:r>
        <w:t xml:space="preserve"> very fundamental question of “What is physical adsorption or physisorption?”  This </w:t>
      </w:r>
      <w:r w:rsidR="00BF4F50">
        <w:t xml:space="preserve">may seem to be </w:t>
      </w:r>
      <w:r>
        <w:t>a trivial question</w:t>
      </w:r>
      <w:r w:rsidR="00543A53">
        <w:t>,</w:t>
      </w:r>
      <w:r w:rsidR="00BF4F50">
        <w:t xml:space="preserve"> but it is not.  This question has </w:t>
      </w:r>
      <w:r>
        <w:t>been treated</w:t>
      </w:r>
      <w:r w:rsidR="00F77D98">
        <w:t>, in part,</w:t>
      </w:r>
      <w:r>
        <w:t xml:space="preserve"> too cavalierly and presumptuously. The definition should follow standard thermodynamic treatments such as the Gibbs’ phase rule. What are the phases</w:t>
      </w:r>
      <w:r w:rsidR="00BB75AD">
        <w:t xml:space="preserve"> and components</w:t>
      </w:r>
      <w:r w:rsidR="005F53B1">
        <w:t>?</w:t>
      </w:r>
      <w:r>
        <w:t xml:space="preserve"> </w:t>
      </w:r>
      <w:r w:rsidR="005F53B1">
        <w:t>H</w:t>
      </w:r>
      <w:r>
        <w:t>ow does one know this</w:t>
      </w:r>
      <w:r w:rsidR="005F53B1">
        <w:t>?</w:t>
      </w:r>
      <w:r>
        <w:t xml:space="preserve"> In summary, the answer is that the physical adsorbed material is</w:t>
      </w:r>
      <w:r w:rsidR="00B708DA">
        <w:t xml:space="preserve"> part of the liquid phase in the expanded Gibbs’ rule</w:t>
      </w:r>
      <w:r w:rsidR="00373422">
        <w:rPr>
          <w:rStyle w:val="EndnoteReference"/>
        </w:rPr>
        <w:endnoteReference w:id="2"/>
      </w:r>
      <w:r w:rsidR="00B708DA">
        <w:t xml:space="preserve"> that considers the </w:t>
      </w:r>
      <w:r w:rsidR="00BB75AD">
        <w:t xml:space="preserve">adsorbate amount, </w:t>
      </w:r>
      <w:r w:rsidR="00BB75AD">
        <w:rPr>
          <w:i/>
          <w:iCs/>
        </w:rPr>
        <w:t>n</w:t>
      </w:r>
      <w:r w:rsidR="00BB75AD" w:rsidRPr="00BB75AD">
        <w:rPr>
          <w:vertAlign w:val="subscript"/>
        </w:rPr>
        <w:t>ads</w:t>
      </w:r>
      <w:r w:rsidR="00BB75AD">
        <w:t xml:space="preserve">, </w:t>
      </w:r>
      <w:r w:rsidR="00B708DA">
        <w:t xml:space="preserve">and surface energy, </w:t>
      </w:r>
      <w:r w:rsidR="00BB75AD">
        <w:rPr>
          <w:rFonts w:cs="Times New Roman"/>
          <w:b/>
          <w:bCs/>
        </w:rPr>
        <w:t>E</w:t>
      </w:r>
      <w:r w:rsidR="00B708DA">
        <w:rPr>
          <w:rFonts w:cs="Times New Roman"/>
          <w:i/>
          <w:iCs/>
        </w:rPr>
        <w:t>,</w:t>
      </w:r>
      <w:r w:rsidR="00B708DA">
        <w:t xml:space="preserve"> as well as </w:t>
      </w:r>
      <w:r w:rsidR="00B708DA">
        <w:rPr>
          <w:i/>
          <w:iCs/>
        </w:rPr>
        <w:t>P, T, S</w:t>
      </w:r>
      <w:r w:rsidR="009E071D">
        <w:rPr>
          <w:i/>
          <w:iCs/>
        </w:rPr>
        <w:t>,</w:t>
      </w:r>
      <w:r w:rsidR="00FE7048">
        <w:rPr>
          <w:i/>
          <w:iCs/>
        </w:rPr>
        <w:t xml:space="preserve"> V</w:t>
      </w:r>
      <w:r w:rsidR="00B708DA">
        <w:rPr>
          <w:i/>
          <w:iCs/>
        </w:rPr>
        <w:t xml:space="preserve"> </w:t>
      </w:r>
      <w:r w:rsidR="00B708DA" w:rsidRPr="009E071D">
        <w:t>and</w:t>
      </w:r>
      <w:r w:rsidR="00B708DA">
        <w:rPr>
          <w:i/>
          <w:iCs/>
        </w:rPr>
        <w:t xml:space="preserve"> </w:t>
      </w:r>
      <w:r w:rsidR="00B708DA">
        <w:rPr>
          <w:rFonts w:cs="Times New Roman"/>
          <w:i/>
          <w:iCs/>
        </w:rPr>
        <w:t>μ</w:t>
      </w:r>
      <w:r w:rsidR="00B708DA">
        <w:rPr>
          <w:rFonts w:cs="Times New Roman"/>
        </w:rPr>
        <w:t xml:space="preserve">.  With proper definitions of components and phases it becomes obvious that the </w:t>
      </w:r>
      <w:r w:rsidR="00BB75AD">
        <w:rPr>
          <w:rFonts w:cs="Times New Roman"/>
        </w:rPr>
        <w:t xml:space="preserve">start of the liquid-gas </w:t>
      </w:r>
      <w:r w:rsidR="00B708DA">
        <w:rPr>
          <w:rFonts w:cs="Times New Roman"/>
        </w:rPr>
        <w:t>phase boundary is at low pressures and not at high pressures, which Brunauer was forced to postulate</w:t>
      </w:r>
      <w:bookmarkStart w:id="3" w:name="_Ref171506542"/>
      <w:r w:rsidR="00BB75AD" w:rsidRPr="00EE46BE">
        <w:rPr>
          <w:rStyle w:val="EndnoteReference"/>
          <w:rFonts w:cs="Times New Roman"/>
          <w:color w:val="000000" w:themeColor="text1"/>
        </w:rPr>
        <w:endnoteReference w:id="3"/>
      </w:r>
      <w:bookmarkEnd w:id="3"/>
      <w:r w:rsidR="00B708DA">
        <w:rPr>
          <w:rFonts w:cs="Times New Roman"/>
        </w:rPr>
        <w:t>.</w:t>
      </w:r>
    </w:p>
    <w:p w14:paraId="2CA61653" w14:textId="77777777" w:rsidR="00B708DA" w:rsidRDefault="00B708DA" w:rsidP="00543A53">
      <w:pPr>
        <w:pStyle w:val="NoSpacing"/>
        <w:rPr>
          <w:rFonts w:cs="Times New Roman"/>
        </w:rPr>
      </w:pPr>
    </w:p>
    <w:p w14:paraId="7AB33E66" w14:textId="2E93DB83" w:rsidR="00B708DA" w:rsidRDefault="00B708DA" w:rsidP="00543A53">
      <w:pPr>
        <w:pStyle w:val="NoSpacing"/>
        <w:rPr>
          <w:rFonts w:cs="Times New Roman"/>
        </w:rPr>
      </w:pPr>
      <w:r>
        <w:rPr>
          <w:rFonts w:cs="Times New Roman"/>
        </w:rPr>
        <w:t xml:space="preserve">Given the thermodynamic background, the next point is, “Can the BET stand up to the test </w:t>
      </w:r>
      <w:r w:rsidR="001F1ABC">
        <w:rPr>
          <w:rFonts w:cs="Times New Roman"/>
        </w:rPr>
        <w:t>required of a</w:t>
      </w:r>
      <w:r w:rsidR="00951D0E">
        <w:rPr>
          <w:rFonts w:cs="Times New Roman"/>
        </w:rPr>
        <w:t xml:space="preserve"> </w:t>
      </w:r>
      <w:r>
        <w:rPr>
          <w:rFonts w:cs="Times New Roman"/>
        </w:rPr>
        <w:t xml:space="preserve">theory?”  </w:t>
      </w:r>
      <w:r w:rsidR="00BB75AD">
        <w:rPr>
          <w:rFonts w:cs="Times New Roman"/>
        </w:rPr>
        <w:t xml:space="preserve">The test </w:t>
      </w:r>
      <w:r w:rsidR="00965778">
        <w:rPr>
          <w:rFonts w:cs="Times New Roman"/>
        </w:rPr>
        <w:t>is</w:t>
      </w:r>
      <w:r w:rsidR="00BF4F50">
        <w:rPr>
          <w:rFonts w:cs="Times New Roman"/>
        </w:rPr>
        <w:t>: “Does</w:t>
      </w:r>
      <w:r>
        <w:rPr>
          <w:rFonts w:cs="Times New Roman"/>
        </w:rPr>
        <w:t xml:space="preserve"> the theory</w:t>
      </w:r>
      <w:r w:rsidR="009F2039">
        <w:rPr>
          <w:rFonts w:cs="Times New Roman"/>
        </w:rPr>
        <w:t xml:space="preserve"> predict some things that </w:t>
      </w:r>
      <w:r w:rsidR="00965778">
        <w:rPr>
          <w:rFonts w:cs="Times New Roman"/>
        </w:rPr>
        <w:t xml:space="preserve">according to it </w:t>
      </w:r>
      <w:r w:rsidR="009F2039" w:rsidRPr="00BF4F50">
        <w:rPr>
          <w:rFonts w:cs="Times New Roman"/>
          <w:i/>
          <w:iCs/>
        </w:rPr>
        <w:t>must</w:t>
      </w:r>
      <w:r w:rsidR="009F2039">
        <w:rPr>
          <w:rFonts w:cs="Times New Roman"/>
        </w:rPr>
        <w:t xml:space="preserve"> be true</w:t>
      </w:r>
      <w:r w:rsidR="00BF4F50">
        <w:rPr>
          <w:rFonts w:cs="Times New Roman"/>
        </w:rPr>
        <w:t xml:space="preserve"> </w:t>
      </w:r>
      <w:r w:rsidR="00BF4F50" w:rsidRPr="00001151">
        <w:rPr>
          <w:rFonts w:cs="Times New Roman"/>
          <w:i/>
          <w:iCs/>
        </w:rPr>
        <w:t>always</w:t>
      </w:r>
      <w:r w:rsidR="00BF4F50">
        <w:rPr>
          <w:rFonts w:cs="Times New Roman"/>
        </w:rPr>
        <w:t>?”</w:t>
      </w:r>
      <w:r w:rsidR="00FE7048">
        <w:rPr>
          <w:rStyle w:val="FootnoteReference"/>
          <w:rFonts w:cs="Times New Roman"/>
        </w:rPr>
        <w:footnoteReference w:id="3"/>
      </w:r>
      <w:r w:rsidR="009F2039">
        <w:rPr>
          <w:rFonts w:cs="Times New Roman"/>
        </w:rPr>
        <w:t xml:space="preserve">  If </w:t>
      </w:r>
      <w:r w:rsidR="001F1ABC">
        <w:rPr>
          <w:rFonts w:cs="Times New Roman"/>
        </w:rPr>
        <w:t>a</w:t>
      </w:r>
      <w:r w:rsidR="009F2039">
        <w:rPr>
          <w:rFonts w:cs="Times New Roman"/>
        </w:rPr>
        <w:t xml:space="preserve"> prediction prove</w:t>
      </w:r>
      <w:r w:rsidR="00965778">
        <w:rPr>
          <w:rFonts w:cs="Times New Roman"/>
        </w:rPr>
        <w:t>s</w:t>
      </w:r>
      <w:r w:rsidR="009F2039">
        <w:rPr>
          <w:rFonts w:cs="Times New Roman"/>
        </w:rPr>
        <w:t xml:space="preserve"> false</w:t>
      </w:r>
      <w:r w:rsidR="00BF4F50">
        <w:rPr>
          <w:rFonts w:cs="Times New Roman"/>
        </w:rPr>
        <w:t>, even once</w:t>
      </w:r>
      <w:r w:rsidR="009F2039">
        <w:rPr>
          <w:rFonts w:cs="Times New Roman"/>
        </w:rPr>
        <w:t xml:space="preserve">, unless there has been some error in the test, the theory is </w:t>
      </w:r>
      <w:r w:rsidR="009F2039" w:rsidRPr="009F2039">
        <w:rPr>
          <w:rFonts w:cs="Times New Roman"/>
          <w:i/>
          <w:iCs/>
        </w:rPr>
        <w:t>unqualified</w:t>
      </w:r>
      <w:r w:rsidR="009F2039">
        <w:rPr>
          <w:rFonts w:cs="Times New Roman"/>
        </w:rPr>
        <w:t xml:space="preserve"> </w:t>
      </w:r>
      <w:r w:rsidR="009F2039" w:rsidRPr="009F2039">
        <w:rPr>
          <w:rFonts w:cs="Times New Roman"/>
          <w:i/>
          <w:iCs/>
        </w:rPr>
        <w:t>proven false</w:t>
      </w:r>
      <w:r w:rsidR="001F1ABC">
        <w:rPr>
          <w:rFonts w:cs="Times New Roman"/>
          <w:i/>
          <w:iCs/>
        </w:rPr>
        <w:t xml:space="preserve"> as is</w:t>
      </w:r>
      <w:r w:rsidR="009F2039">
        <w:rPr>
          <w:rFonts w:cs="Times New Roman"/>
        </w:rPr>
        <w:t xml:space="preserve">.  In principle, only one negative result is needed, but given the fallibility of human endeavor, to make the disproof believable </w:t>
      </w:r>
      <w:r w:rsidR="004B3A96">
        <w:rPr>
          <w:rFonts w:cs="Times New Roman"/>
        </w:rPr>
        <w:t xml:space="preserve">it is best to obtain </w:t>
      </w:r>
      <w:r w:rsidR="009F2039">
        <w:rPr>
          <w:rFonts w:cs="Times New Roman"/>
        </w:rPr>
        <w:t>multiple instances.</w:t>
      </w:r>
      <w:r w:rsidR="00965778">
        <w:rPr>
          <w:rFonts w:cs="Times New Roman"/>
        </w:rPr>
        <w:t xml:space="preserve">  However, to be clear about this, if all predictions prove true, this does </w:t>
      </w:r>
      <w:r w:rsidR="00965778" w:rsidRPr="00965778">
        <w:rPr>
          <w:rFonts w:cs="Times New Roman"/>
          <w:i/>
          <w:iCs/>
        </w:rPr>
        <w:t>not prove</w:t>
      </w:r>
      <w:r w:rsidR="00965778">
        <w:rPr>
          <w:rFonts w:cs="Times New Roman"/>
        </w:rPr>
        <w:t xml:space="preserve"> a theory</w:t>
      </w:r>
      <w:r w:rsidR="007647F4">
        <w:rPr>
          <w:rFonts w:cs="Times New Roman"/>
        </w:rPr>
        <w:t>.</w:t>
      </w:r>
      <w:r w:rsidR="00965778">
        <w:rPr>
          <w:rFonts w:cs="Times New Roman"/>
        </w:rPr>
        <w:t xml:space="preserve"> but </w:t>
      </w:r>
      <w:r w:rsidR="00731321">
        <w:rPr>
          <w:rFonts w:cs="Times New Roman"/>
        </w:rPr>
        <w:t xml:space="preserve">it </w:t>
      </w:r>
      <w:r w:rsidR="00965778">
        <w:rPr>
          <w:rFonts w:cs="Times New Roman"/>
        </w:rPr>
        <w:t>does provide confidence in it.</w:t>
      </w:r>
    </w:p>
    <w:p w14:paraId="496DBD80" w14:textId="77777777" w:rsidR="009F2039" w:rsidRDefault="009F2039" w:rsidP="00543A53">
      <w:pPr>
        <w:pStyle w:val="NoSpacing"/>
        <w:rPr>
          <w:rFonts w:cs="Times New Roman"/>
        </w:rPr>
      </w:pPr>
    </w:p>
    <w:p w14:paraId="120BA774" w14:textId="750F4AB2" w:rsidR="009F2039" w:rsidRDefault="009F2039" w:rsidP="00543A53">
      <w:pPr>
        <w:pStyle w:val="NoSpacing"/>
        <w:rPr>
          <w:rFonts w:cs="Times New Roman"/>
        </w:rPr>
      </w:pPr>
      <w:r>
        <w:rPr>
          <w:rFonts w:cs="Times New Roman"/>
        </w:rPr>
        <w:t>Another way of discrediting a theory is its poor performance in statistical trials or pointing out the weakness of the application</w:t>
      </w:r>
      <w:r w:rsidR="007647F4">
        <w:rPr>
          <w:rFonts w:cs="Times New Roman"/>
        </w:rPr>
        <w:t>, which is a problem that became obvious with the BET early on</w:t>
      </w:r>
      <w:r>
        <w:rPr>
          <w:rFonts w:cs="Times New Roman"/>
        </w:rPr>
        <w:t xml:space="preserve">.  This is especially true if there </w:t>
      </w:r>
      <w:r w:rsidR="0032373F">
        <w:rPr>
          <w:rFonts w:cs="Times New Roman"/>
        </w:rPr>
        <w:t xml:space="preserve">are </w:t>
      </w:r>
      <w:r w:rsidR="00367828">
        <w:rPr>
          <w:rFonts w:cs="Times New Roman"/>
        </w:rPr>
        <w:t>alternative theoretical developments</w:t>
      </w:r>
      <w:r w:rsidR="00D97813">
        <w:rPr>
          <w:rFonts w:cs="Times New Roman"/>
        </w:rPr>
        <w:t xml:space="preserve"> </w:t>
      </w:r>
      <w:r w:rsidR="0016509A">
        <w:rPr>
          <w:rFonts w:cs="Times New Roman"/>
        </w:rPr>
        <w:t xml:space="preserve">that </w:t>
      </w:r>
      <w:r w:rsidR="00367828">
        <w:rPr>
          <w:rFonts w:cs="Times New Roman"/>
        </w:rPr>
        <w:t>are</w:t>
      </w:r>
      <w:r>
        <w:rPr>
          <w:rFonts w:cs="Times New Roman"/>
        </w:rPr>
        <w:t xml:space="preserve"> </w:t>
      </w:r>
      <w:r w:rsidR="00D97813">
        <w:rPr>
          <w:rFonts w:cs="Times New Roman"/>
        </w:rPr>
        <w:t xml:space="preserve">available for which the statistics are much better.  The statistical test available should not be stretched to their limits in this method and it is easy to introduce bias.  </w:t>
      </w:r>
      <w:r w:rsidR="005F53B1">
        <w:rPr>
          <w:rFonts w:cs="Times New Roman"/>
        </w:rPr>
        <w:t>In other words</w:t>
      </w:r>
      <w:r w:rsidR="00D01373">
        <w:rPr>
          <w:rFonts w:cs="Times New Roman"/>
        </w:rPr>
        <w:t>,</w:t>
      </w:r>
      <w:r w:rsidR="005F53B1">
        <w:rPr>
          <w:rFonts w:cs="Times New Roman"/>
        </w:rPr>
        <w:t xml:space="preserve"> if a test, such as the </w:t>
      </w:r>
      <w:r w:rsidR="005F53B1">
        <w:rPr>
          <w:rFonts w:cs="Times New Roman"/>
          <w:i/>
          <w:iCs/>
        </w:rPr>
        <w:t>F</w:t>
      </w:r>
      <w:r w:rsidR="005F53B1">
        <w:rPr>
          <w:rFonts w:cs="Times New Roman"/>
        </w:rPr>
        <w:t>-test</w:t>
      </w:r>
      <w:r w:rsidR="00D01373">
        <w:rPr>
          <w:rFonts w:cs="Times New Roman"/>
        </w:rPr>
        <w:t>,</w:t>
      </w:r>
      <w:r w:rsidR="005F53B1">
        <w:rPr>
          <w:rFonts w:cs="Times New Roman"/>
        </w:rPr>
        <w:t xml:space="preserve"> barely yield</w:t>
      </w:r>
      <w:r w:rsidR="00D01373">
        <w:rPr>
          <w:rFonts w:cs="Times New Roman"/>
        </w:rPr>
        <w:t>s</w:t>
      </w:r>
      <w:r w:rsidR="005F53B1">
        <w:rPr>
          <w:rFonts w:cs="Times New Roman"/>
        </w:rPr>
        <w:t xml:space="preserve"> a decisional answer, </w:t>
      </w:r>
      <w:r w:rsidR="00D01373">
        <w:rPr>
          <w:rFonts w:cs="Times New Roman"/>
        </w:rPr>
        <w:t>i</w:t>
      </w:r>
      <w:r w:rsidR="005F53B1">
        <w:rPr>
          <w:rFonts w:cs="Times New Roman"/>
        </w:rPr>
        <w:t>t should not be taken</w:t>
      </w:r>
      <w:r w:rsidR="00D01373">
        <w:rPr>
          <w:rFonts w:cs="Times New Roman"/>
        </w:rPr>
        <w:t xml:space="preserve"> </w:t>
      </w:r>
      <w:r w:rsidR="005F53B1">
        <w:rPr>
          <w:rFonts w:cs="Times New Roman"/>
        </w:rPr>
        <w:t xml:space="preserve">too seriously.  The test should be </w:t>
      </w:r>
      <w:r w:rsidR="00B76E9F">
        <w:rPr>
          <w:rFonts w:cs="Times New Roman"/>
        </w:rPr>
        <w:t>clearly overwhelming, not just a close statistical test,</w:t>
      </w:r>
      <w:r w:rsidR="00D97813">
        <w:rPr>
          <w:rFonts w:cs="Times New Roman"/>
        </w:rPr>
        <w:t xml:space="preserve"> with</w:t>
      </w:r>
      <w:r w:rsidR="00B76E9F">
        <w:rPr>
          <w:rFonts w:cs="Times New Roman"/>
        </w:rPr>
        <w:t xml:space="preserve">out using </w:t>
      </w:r>
      <w:r w:rsidR="00D97813">
        <w:rPr>
          <w:rFonts w:cs="Times New Roman"/>
        </w:rPr>
        <w:t>arguments</w:t>
      </w:r>
      <w:r w:rsidR="001F1ABC">
        <w:rPr>
          <w:rFonts w:cs="Times New Roman"/>
        </w:rPr>
        <w:t xml:space="preserve"> that</w:t>
      </w:r>
      <w:r w:rsidR="00B76E9F">
        <w:rPr>
          <w:rFonts w:cs="Times New Roman"/>
        </w:rPr>
        <w:t xml:space="preserve"> are illogical</w:t>
      </w:r>
      <w:r w:rsidR="00D97813">
        <w:rPr>
          <w:rFonts w:cs="Times New Roman"/>
        </w:rPr>
        <w:t>.</w:t>
      </w:r>
      <w:r w:rsidR="00367828">
        <w:rPr>
          <w:rFonts w:cs="Times New Roman"/>
        </w:rPr>
        <w:t xml:space="preserve"> </w:t>
      </w:r>
      <w:r w:rsidR="005F53B1">
        <w:rPr>
          <w:rFonts w:cs="Times New Roman"/>
        </w:rPr>
        <w:t>For example, using a raking test as proof</w:t>
      </w:r>
      <w:r w:rsidR="00804473">
        <w:rPr>
          <w:rStyle w:val="FootnoteReference"/>
          <w:rFonts w:cs="Times New Roman"/>
        </w:rPr>
        <w:footnoteReference w:id="4"/>
      </w:r>
      <w:r w:rsidR="005F53B1">
        <w:rPr>
          <w:rFonts w:cs="Times New Roman"/>
        </w:rPr>
        <w:t xml:space="preserve">. </w:t>
      </w:r>
      <w:r w:rsidR="00367828">
        <w:rPr>
          <w:rFonts w:cs="Times New Roman"/>
        </w:rPr>
        <w:t xml:space="preserve"> Other than standard deviation of the data fit</w:t>
      </w:r>
      <w:r w:rsidR="005F53B1">
        <w:rPr>
          <w:rFonts w:cs="Times New Roman"/>
        </w:rPr>
        <w:t>, i</w:t>
      </w:r>
      <w:r w:rsidR="00367828">
        <w:rPr>
          <w:rFonts w:cs="Times New Roman"/>
        </w:rPr>
        <w:t xml:space="preserve">t is </w:t>
      </w:r>
      <w:r w:rsidR="00B76E9F">
        <w:rPr>
          <w:rFonts w:cs="Times New Roman"/>
        </w:rPr>
        <w:t xml:space="preserve">even more </w:t>
      </w:r>
      <w:r w:rsidR="00367828">
        <w:rPr>
          <w:rFonts w:cs="Times New Roman"/>
        </w:rPr>
        <w:t xml:space="preserve">important </w:t>
      </w:r>
      <w:r w:rsidR="00B76E9F">
        <w:rPr>
          <w:rFonts w:cs="Times New Roman"/>
        </w:rPr>
        <w:t xml:space="preserve">to </w:t>
      </w:r>
      <w:r w:rsidR="00367828">
        <w:rPr>
          <w:rFonts w:cs="Times New Roman"/>
        </w:rPr>
        <w:t xml:space="preserve">minimize </w:t>
      </w:r>
      <w:r w:rsidR="0032373F">
        <w:rPr>
          <w:rFonts w:cs="Times New Roman"/>
        </w:rPr>
        <w:t xml:space="preserve">fitting </w:t>
      </w:r>
      <w:r w:rsidR="00367828">
        <w:rPr>
          <w:rFonts w:cs="Times New Roman"/>
        </w:rPr>
        <w:t>parameters</w:t>
      </w:r>
      <w:r w:rsidR="00B76E9F">
        <w:rPr>
          <w:rFonts w:cs="Times New Roman"/>
        </w:rPr>
        <w:t xml:space="preserve"> and these parameters </w:t>
      </w:r>
      <w:r w:rsidR="005F53B1">
        <w:rPr>
          <w:rFonts w:cs="Times New Roman"/>
        </w:rPr>
        <w:t xml:space="preserve">should </w:t>
      </w:r>
      <w:r w:rsidR="00B76E9F">
        <w:rPr>
          <w:rFonts w:cs="Times New Roman"/>
        </w:rPr>
        <w:t>have physical meaning</w:t>
      </w:r>
      <w:r w:rsidR="005F53B1">
        <w:rPr>
          <w:rFonts w:cs="Times New Roman"/>
        </w:rPr>
        <w:t xml:space="preserve"> that fit in with known physical behavior</w:t>
      </w:r>
      <w:r w:rsidR="00B76E9F">
        <w:rPr>
          <w:rFonts w:cs="Times New Roman"/>
        </w:rPr>
        <w:t>.</w:t>
      </w:r>
      <w:r w:rsidR="00D01373">
        <w:rPr>
          <w:rFonts w:cs="Times New Roman"/>
        </w:rPr>
        <w:t xml:space="preserve">  (The BET was t</w:t>
      </w:r>
      <w:r w:rsidR="00D63732">
        <w:rPr>
          <w:rFonts w:cs="Times New Roman"/>
        </w:rPr>
        <w:t>he</w:t>
      </w:r>
      <w:r w:rsidR="00D01373">
        <w:rPr>
          <w:rFonts w:cs="Times New Roman"/>
        </w:rPr>
        <w:t xml:space="preserve"> only reasonable choice by these criteria that fit in the known knowledge of the 1930s, at least for </w:t>
      </w:r>
      <w:r w:rsidR="00990499">
        <w:rPr>
          <w:rFonts w:cs="Times New Roman"/>
        </w:rPr>
        <w:t>chemists</w:t>
      </w:r>
      <w:r w:rsidR="00D01373">
        <w:rPr>
          <w:rFonts w:cs="Times New Roman"/>
        </w:rPr>
        <w:t>.</w:t>
      </w:r>
      <w:r w:rsidR="004B3A96">
        <w:rPr>
          <w:rFonts w:cs="Times New Roman"/>
        </w:rPr>
        <w:t xml:space="preserve"> It claimed to yield the surface area and an equilibrium constant, familiar quantities in chemistry.</w:t>
      </w:r>
      <w:r w:rsidR="00990499">
        <w:rPr>
          <w:rFonts w:cs="Times New Roman"/>
        </w:rPr>
        <w:t xml:space="preserve">  However, in the early years, negative </w:t>
      </w:r>
      <w:r w:rsidR="00990499">
        <w:rPr>
          <w:rFonts w:cs="Times New Roman"/>
          <w:i/>
          <w:iCs/>
        </w:rPr>
        <w:t>C</w:t>
      </w:r>
      <w:r w:rsidR="00990499">
        <w:rPr>
          <w:rFonts w:cs="Times New Roman"/>
        </w:rPr>
        <w:t xml:space="preserve"> values were reported which does not have a good explanation.</w:t>
      </w:r>
      <w:r w:rsidR="00D01373">
        <w:rPr>
          <w:rFonts w:cs="Times New Roman"/>
        </w:rPr>
        <w:t>)</w:t>
      </w:r>
      <w:r w:rsidR="006E0FFB">
        <w:rPr>
          <w:rStyle w:val="FootnoteReference"/>
          <w:rFonts w:cs="Times New Roman"/>
        </w:rPr>
        <w:footnoteReference w:id="5"/>
      </w:r>
    </w:p>
    <w:p w14:paraId="6423B959" w14:textId="77777777" w:rsidR="00D97813" w:rsidRDefault="00D97813" w:rsidP="00543A53">
      <w:pPr>
        <w:pStyle w:val="NoSpacing"/>
        <w:rPr>
          <w:rFonts w:cs="Times New Roman"/>
        </w:rPr>
      </w:pPr>
    </w:p>
    <w:p w14:paraId="498A6B9D" w14:textId="74D76D72" w:rsidR="00965778" w:rsidRDefault="00D97813" w:rsidP="00543A53">
      <w:pPr>
        <w:pStyle w:val="NoSpacing"/>
        <w:rPr>
          <w:rFonts w:cs="Times New Roman"/>
        </w:rPr>
      </w:pPr>
      <w:r>
        <w:rPr>
          <w:rFonts w:cs="Times New Roman"/>
        </w:rPr>
        <w:lastRenderedPageBreak/>
        <w:t xml:space="preserve">Both </w:t>
      </w:r>
      <w:r w:rsidR="00B76E9F">
        <w:rPr>
          <w:rFonts w:cs="Times New Roman"/>
        </w:rPr>
        <w:t xml:space="preserve">types </w:t>
      </w:r>
      <w:r>
        <w:rPr>
          <w:rFonts w:cs="Times New Roman"/>
        </w:rPr>
        <w:t xml:space="preserve">of </w:t>
      </w:r>
      <w:r w:rsidR="00B76E9F">
        <w:rPr>
          <w:rFonts w:cs="Times New Roman"/>
        </w:rPr>
        <w:t xml:space="preserve">the mentioned </w:t>
      </w:r>
      <w:r>
        <w:rPr>
          <w:rFonts w:cs="Times New Roman"/>
        </w:rPr>
        <w:t xml:space="preserve">disproof methods are presented for the BET.  The question then is back to the first question, “What to do with old BET results?”  The answer is to model the </w:t>
      </w:r>
      <w:r w:rsidR="00965778">
        <w:rPr>
          <w:rFonts w:cs="Times New Roman"/>
        </w:rPr>
        <w:t xml:space="preserve">adsorption </w:t>
      </w:r>
      <w:r>
        <w:rPr>
          <w:rFonts w:cs="Times New Roman"/>
        </w:rPr>
        <w:t xml:space="preserve">using Quantum Mechanics and compare the surface adsorption values with the BET values.  Since the QM treatment has two output parameters, the monolayer equivalent, </w:t>
      </w:r>
      <w:r>
        <w:rPr>
          <w:rFonts w:cs="Times New Roman"/>
          <w:i/>
          <w:iCs/>
        </w:rPr>
        <w:t>n</w:t>
      </w:r>
      <w:r w:rsidRPr="00D97813">
        <w:rPr>
          <w:rFonts w:cs="Times New Roman"/>
          <w:vertAlign w:val="subscript"/>
        </w:rPr>
        <w:t>m</w:t>
      </w:r>
      <w:r>
        <w:rPr>
          <w:rFonts w:cs="Times New Roman"/>
        </w:rPr>
        <w:t>, and the initial heat of adsorption</w:t>
      </w:r>
      <w:r w:rsidR="00B76E9F">
        <w:rPr>
          <w:rFonts w:cs="Times New Roman"/>
        </w:rPr>
        <w:t xml:space="preserve">. </w:t>
      </w:r>
      <w:r w:rsidR="00B76E9F">
        <w:rPr>
          <w:rFonts w:cs="Times New Roman"/>
          <w:i/>
          <w:iCs/>
        </w:rPr>
        <w:t>E</w:t>
      </w:r>
      <w:r w:rsidR="00B76E9F" w:rsidRPr="00B76E9F">
        <w:rPr>
          <w:rFonts w:cs="Times New Roman"/>
          <w:vertAlign w:val="subscript"/>
        </w:rPr>
        <w:t>a</w:t>
      </w:r>
      <w:r w:rsidR="00B76E9F">
        <w:rPr>
          <w:rFonts w:cs="Times New Roman"/>
        </w:rPr>
        <w:t>,</w:t>
      </w:r>
      <w:r>
        <w:rPr>
          <w:rFonts w:cs="Times New Roman"/>
        </w:rPr>
        <w:t xml:space="preserve"> and the BET </w:t>
      </w:r>
      <w:r w:rsidR="00965778">
        <w:rPr>
          <w:rFonts w:cs="Times New Roman"/>
        </w:rPr>
        <w:t xml:space="preserve">also has two, </w:t>
      </w:r>
      <w:r w:rsidR="00BF4F50">
        <w:rPr>
          <w:rFonts w:cs="Times New Roman"/>
        </w:rPr>
        <w:t xml:space="preserve">BET </w:t>
      </w:r>
      <w:r>
        <w:rPr>
          <w:rFonts w:cs="Times New Roman"/>
          <w:i/>
          <w:iCs/>
        </w:rPr>
        <w:t>n</w:t>
      </w:r>
      <w:r w:rsidRPr="00D97813">
        <w:rPr>
          <w:rFonts w:cs="Times New Roman"/>
          <w:vertAlign w:val="subscript"/>
        </w:rPr>
        <w:t>m</w:t>
      </w:r>
      <w:r w:rsidRPr="00D97813">
        <w:rPr>
          <w:rFonts w:cs="Times New Roman"/>
        </w:rPr>
        <w:t xml:space="preserve"> </w:t>
      </w:r>
      <w:r w:rsidR="00BF4F50">
        <w:rPr>
          <w:rFonts w:cs="Times New Roman"/>
        </w:rPr>
        <w:t xml:space="preserve">or </w:t>
      </w:r>
      <w:r w:rsidR="00BF4F50">
        <w:rPr>
          <w:rFonts w:cs="Times New Roman"/>
          <w:i/>
          <w:iCs/>
        </w:rPr>
        <w:t>A</w:t>
      </w:r>
      <w:r w:rsidR="00BF4F50">
        <w:rPr>
          <w:rFonts w:cs="Times New Roman"/>
        </w:rPr>
        <w:t xml:space="preserve"> </w:t>
      </w:r>
      <w:r w:rsidRPr="00D97813">
        <w:rPr>
          <w:rFonts w:cs="Times New Roman"/>
        </w:rPr>
        <w:t>and the</w:t>
      </w:r>
      <w:r>
        <w:rPr>
          <w:rFonts w:cs="Times New Roman"/>
        </w:rPr>
        <w:t xml:space="preserve"> BET “</w:t>
      </w:r>
      <w:r>
        <w:rPr>
          <w:rFonts w:cs="Times New Roman"/>
          <w:i/>
          <w:iCs/>
        </w:rPr>
        <w:t>C</w:t>
      </w:r>
      <w:r>
        <w:rPr>
          <w:rFonts w:cs="Times New Roman"/>
        </w:rPr>
        <w:t>” constant</w:t>
      </w:r>
      <w:r w:rsidR="00965778">
        <w:rPr>
          <w:rFonts w:cs="Times New Roman"/>
        </w:rPr>
        <w:t>,</w:t>
      </w:r>
      <w:r>
        <w:rPr>
          <w:rFonts w:cs="Times New Roman"/>
        </w:rPr>
        <w:t xml:space="preserve"> one should be able to make a correlation provide the equation</w:t>
      </w:r>
      <w:r w:rsidR="00965778">
        <w:rPr>
          <w:rFonts w:cs="Times New Roman"/>
        </w:rPr>
        <w:t>s</w:t>
      </w:r>
      <w:r>
        <w:rPr>
          <w:rFonts w:cs="Times New Roman"/>
        </w:rPr>
        <w:t xml:space="preserve"> </w:t>
      </w:r>
      <w:r w:rsidR="00965778">
        <w:rPr>
          <w:rFonts w:cs="Times New Roman"/>
        </w:rPr>
        <w:t>are</w:t>
      </w:r>
      <w:r>
        <w:rPr>
          <w:rFonts w:cs="Times New Roman"/>
        </w:rPr>
        <w:t xml:space="preserve"> mono</w:t>
      </w:r>
      <w:r w:rsidR="001B6509">
        <w:rPr>
          <w:rFonts w:cs="Times New Roman"/>
        </w:rPr>
        <w:t>tonic to each other.  This latter is fortunately correct over a wide range of values, so it is likely that one can make the conversion in almost all cases.</w:t>
      </w:r>
    </w:p>
    <w:p w14:paraId="288A0A1D" w14:textId="77777777" w:rsidR="007034CF" w:rsidRDefault="007034CF" w:rsidP="00543A53">
      <w:pPr>
        <w:pStyle w:val="NoSpacing"/>
        <w:rPr>
          <w:rFonts w:cs="Times New Roman"/>
        </w:rPr>
      </w:pPr>
    </w:p>
    <w:p w14:paraId="73D286E5" w14:textId="1264350D" w:rsidR="00FA1035" w:rsidRDefault="002E54CB" w:rsidP="00543A53">
      <w:pPr>
        <w:pStyle w:val="NoSpacing"/>
        <w:rPr>
          <w:rFonts w:cs="Times New Roman"/>
        </w:rPr>
      </w:pPr>
      <w:r>
        <w:rPr>
          <w:rFonts w:cs="Times New Roman"/>
        </w:rPr>
        <w:t>After some preliminary parts t</w:t>
      </w:r>
      <w:r w:rsidR="00FA1035">
        <w:rPr>
          <w:rFonts w:cs="Times New Roman"/>
        </w:rPr>
        <w:t>his publication consists of three parts:</w:t>
      </w:r>
    </w:p>
    <w:p w14:paraId="6E8DF55A" w14:textId="2981F13A" w:rsidR="00FA1035" w:rsidRDefault="00FA1035" w:rsidP="00543A53">
      <w:pPr>
        <w:pStyle w:val="NoSpacing"/>
        <w:rPr>
          <w:rFonts w:cs="Times New Roman"/>
        </w:rPr>
      </w:pPr>
      <w:r>
        <w:rPr>
          <w:rFonts w:cs="Times New Roman"/>
        </w:rPr>
        <w:tab/>
        <w:t xml:space="preserve">Part I </w:t>
      </w:r>
      <w:r w:rsidR="00D63732">
        <w:rPr>
          <w:rFonts w:cs="Times New Roman"/>
        </w:rPr>
        <w:t>Two</w:t>
      </w:r>
      <w:r>
        <w:rPr>
          <w:rFonts w:cs="Times New Roman"/>
        </w:rPr>
        <w:t xml:space="preserve"> problem</w:t>
      </w:r>
      <w:r w:rsidR="00144E15">
        <w:rPr>
          <w:rFonts w:cs="Times New Roman"/>
        </w:rPr>
        <w:t>s</w:t>
      </w:r>
      <w:r>
        <w:rPr>
          <w:rFonts w:cs="Times New Roman"/>
        </w:rPr>
        <w:t xml:space="preserve"> with the BET</w:t>
      </w:r>
    </w:p>
    <w:p w14:paraId="3B691B56" w14:textId="25691BC8" w:rsidR="002E54CB" w:rsidRDefault="00FA1035" w:rsidP="00543A53">
      <w:pPr>
        <w:pStyle w:val="NoSpacing"/>
        <w:rPr>
          <w:b/>
          <w:bCs/>
          <w:iCs/>
        </w:rPr>
      </w:pPr>
      <w:r>
        <w:rPr>
          <w:rFonts w:cs="Times New Roman"/>
        </w:rPr>
        <w:tab/>
        <w:t xml:space="preserve">Part II </w:t>
      </w:r>
      <w:r w:rsidR="002E54CB" w:rsidRPr="002E54CB">
        <w:rPr>
          <w:iCs/>
        </w:rPr>
        <w:t>An alternate hypothesis - Quantum Mechanics applied to Physisorption</w:t>
      </w:r>
    </w:p>
    <w:p w14:paraId="323E0094" w14:textId="4A4A74A1" w:rsidR="006C539D" w:rsidRDefault="006C539D" w:rsidP="00543A53">
      <w:pPr>
        <w:pStyle w:val="NoSpacing"/>
        <w:rPr>
          <w:rFonts w:cs="Times New Roman"/>
        </w:rPr>
      </w:pPr>
      <w:r>
        <w:rPr>
          <w:rFonts w:cs="Times New Roman"/>
        </w:rPr>
        <w:tab/>
        <w:t xml:space="preserve">Part III The weak spot </w:t>
      </w:r>
      <w:r w:rsidR="00314D00">
        <w:rPr>
          <w:rFonts w:cs="Times New Roman"/>
        </w:rPr>
        <w:t>for</w:t>
      </w:r>
      <w:r>
        <w:rPr>
          <w:rFonts w:cs="Times New Roman"/>
        </w:rPr>
        <w:t xml:space="preserve"> BET – Henry’s Law applied to physisorption.</w:t>
      </w:r>
    </w:p>
    <w:p w14:paraId="456216C5" w14:textId="1E6589C1" w:rsidR="00FA1035" w:rsidRDefault="00FA1035" w:rsidP="00543A53">
      <w:pPr>
        <w:pStyle w:val="NoSpacing"/>
        <w:rPr>
          <w:rFonts w:cs="Times New Roman"/>
        </w:rPr>
      </w:pPr>
      <w:r>
        <w:rPr>
          <w:rFonts w:cs="Times New Roman"/>
        </w:rPr>
        <w:tab/>
        <w:t>Part I</w:t>
      </w:r>
      <w:r w:rsidR="006C539D">
        <w:rPr>
          <w:rFonts w:cs="Times New Roman"/>
        </w:rPr>
        <w:t>V</w:t>
      </w:r>
      <w:r>
        <w:rPr>
          <w:rFonts w:cs="Times New Roman"/>
        </w:rPr>
        <w:t xml:space="preserve"> </w:t>
      </w:r>
      <w:r w:rsidR="001F1ABC" w:rsidRPr="001F1ABC">
        <w:rPr>
          <w:rFonts w:cs="Times New Roman"/>
        </w:rPr>
        <w:t>Reconciling</w:t>
      </w:r>
      <w:r>
        <w:rPr>
          <w:rFonts w:cs="Times New Roman"/>
        </w:rPr>
        <w:t xml:space="preserve"> the BET with the Quantum Mechanics</w:t>
      </w:r>
    </w:p>
    <w:p w14:paraId="57EF27AD" w14:textId="7D5C238B" w:rsidR="003C6A7F" w:rsidRDefault="00E936EF" w:rsidP="00543A53">
      <w:pPr>
        <w:pStyle w:val="NoSpacing"/>
        <w:rPr>
          <w:rFonts w:cs="Times New Roman"/>
        </w:rPr>
      </w:pPr>
      <w:r>
        <w:rPr>
          <w:rFonts w:cs="Times New Roman"/>
        </w:rPr>
        <w:t xml:space="preserve">This publication is limited in scope to addressing only the simplest cases of adsorption. It </w:t>
      </w:r>
      <w:r w:rsidR="00C976FC">
        <w:rPr>
          <w:rFonts w:cs="Times New Roman"/>
        </w:rPr>
        <w:t xml:space="preserve">only mentions </w:t>
      </w:r>
      <w:r>
        <w:rPr>
          <w:rFonts w:cs="Times New Roman"/>
        </w:rPr>
        <w:t xml:space="preserve">microporosity </w:t>
      </w:r>
      <w:r w:rsidR="00C976FC">
        <w:rPr>
          <w:rFonts w:cs="Times New Roman"/>
        </w:rPr>
        <w:t xml:space="preserve">for examples of threshold pressure and does not address </w:t>
      </w:r>
      <w:r>
        <w:rPr>
          <w:rFonts w:cs="Times New Roman"/>
        </w:rPr>
        <w:t>mesoporosity</w:t>
      </w:r>
      <w:r w:rsidR="00C976FC">
        <w:rPr>
          <w:rFonts w:cs="Times New Roman"/>
        </w:rPr>
        <w:t xml:space="preserve"> at all.</w:t>
      </w:r>
      <w:r w:rsidR="00790492">
        <w:rPr>
          <w:rFonts w:cs="Times New Roman"/>
        </w:rPr>
        <w:t xml:space="preserve">  The simple case of homogeneous adsorption without the added features of heterogeneity, microporosity or mesoporosity would be preferred, but such clear examples are difficult to find.</w:t>
      </w:r>
    </w:p>
    <w:p w14:paraId="0D3796D8" w14:textId="77777777" w:rsidR="00790492" w:rsidRDefault="00790492" w:rsidP="00543A53">
      <w:pPr>
        <w:pStyle w:val="NoSpacing"/>
        <w:rPr>
          <w:rFonts w:cs="Times New Roman"/>
        </w:rPr>
      </w:pPr>
    </w:p>
    <w:p w14:paraId="148571CE" w14:textId="209ADC70" w:rsidR="00144C95" w:rsidRDefault="00E936EF" w:rsidP="00543A53">
      <w:pPr>
        <w:pStyle w:val="NoSpacing"/>
        <w:rPr>
          <w:rFonts w:cs="Times New Roman"/>
        </w:rPr>
      </w:pPr>
      <w:r>
        <w:rPr>
          <w:rFonts w:cs="Times New Roman"/>
        </w:rPr>
        <w:t>None of the equations will be derived here.  The BET equation is well known and need</w:t>
      </w:r>
      <w:r w:rsidR="001F1ABC">
        <w:rPr>
          <w:rFonts w:cs="Times New Roman"/>
        </w:rPr>
        <w:t>s</w:t>
      </w:r>
      <w:r>
        <w:rPr>
          <w:rFonts w:cs="Times New Roman"/>
        </w:rPr>
        <w:t xml:space="preserve"> no explanation. This is not the case for quantum mechanics and follow</w:t>
      </w:r>
      <w:r w:rsidR="00F058C0">
        <w:rPr>
          <w:rFonts w:cs="Times New Roman"/>
        </w:rPr>
        <w:t>-on</w:t>
      </w:r>
      <w:r>
        <w:rPr>
          <w:rFonts w:cs="Times New Roman"/>
        </w:rPr>
        <w:t xml:space="preserve"> statistical thermodynamics.  The reader will either accept the derived equations as is or look up the derivations in the references given.  </w:t>
      </w:r>
      <w:r w:rsidR="00A62DC1">
        <w:rPr>
          <w:rFonts w:cs="Times New Roman"/>
        </w:rPr>
        <w:t>These advanced subjects have been covered over the last half century in the literature, but an almost complete explanation (up to year 2024) is covered in a review for this purpose.</w:t>
      </w:r>
      <w:r w:rsidR="00A62DC1" w:rsidRPr="005C7F4B">
        <w:rPr>
          <w:rStyle w:val="EndnoteReference"/>
          <w:rFonts w:cs="Times New Roman"/>
        </w:rPr>
        <w:endnoteReference w:id="4"/>
      </w:r>
      <w:r w:rsidR="00A62DC1" w:rsidRPr="00370317">
        <w:rPr>
          <w:rFonts w:cs="Times New Roman"/>
          <w:color w:val="FF0000"/>
        </w:rPr>
        <w:t xml:space="preserve"> </w:t>
      </w:r>
      <w:r w:rsidR="00C178E0">
        <w:rPr>
          <w:rFonts w:cs="Times New Roman"/>
        </w:rPr>
        <w:t>The</w:t>
      </w:r>
      <w:r>
        <w:rPr>
          <w:rFonts w:cs="Times New Roman"/>
        </w:rPr>
        <w:t>se</w:t>
      </w:r>
      <w:r w:rsidR="00C178E0">
        <w:rPr>
          <w:rFonts w:cs="Times New Roman"/>
        </w:rPr>
        <w:t xml:space="preserve"> </w:t>
      </w:r>
      <w:r w:rsidR="00707EC0">
        <w:rPr>
          <w:rFonts w:cs="Times New Roman"/>
        </w:rPr>
        <w:t xml:space="preserve">advanced subjects </w:t>
      </w:r>
      <w:r w:rsidR="00C178E0">
        <w:rPr>
          <w:rFonts w:cs="Times New Roman"/>
        </w:rPr>
        <w:t xml:space="preserve">have been covered over the last </w:t>
      </w:r>
      <w:r w:rsidR="00DC31FB">
        <w:rPr>
          <w:rFonts w:cs="Times New Roman"/>
        </w:rPr>
        <w:t xml:space="preserve">half century </w:t>
      </w:r>
      <w:r w:rsidR="00C178E0">
        <w:rPr>
          <w:rFonts w:cs="Times New Roman"/>
        </w:rPr>
        <w:t xml:space="preserve">in the literature, but an almost complete explanation </w:t>
      </w:r>
      <w:r w:rsidR="00144C95">
        <w:rPr>
          <w:rFonts w:cs="Times New Roman"/>
        </w:rPr>
        <w:t xml:space="preserve">(up to </w:t>
      </w:r>
      <w:r>
        <w:rPr>
          <w:rFonts w:cs="Times New Roman"/>
        </w:rPr>
        <w:t xml:space="preserve">year </w:t>
      </w:r>
      <w:r w:rsidR="00144C95">
        <w:rPr>
          <w:rFonts w:cs="Times New Roman"/>
        </w:rPr>
        <w:t xml:space="preserve">2000) </w:t>
      </w:r>
      <w:r w:rsidR="00C178E0">
        <w:rPr>
          <w:rFonts w:cs="Times New Roman"/>
        </w:rPr>
        <w:t>is covered in the textbook written for this purpose.</w:t>
      </w:r>
      <w:bookmarkStart w:id="4" w:name="_Ref159694837"/>
      <w:r w:rsidR="00C178E0" w:rsidRPr="005C7F4B">
        <w:rPr>
          <w:rStyle w:val="EndnoteReference"/>
          <w:rFonts w:cs="Times New Roman"/>
        </w:rPr>
        <w:endnoteReference w:id="5"/>
      </w:r>
      <w:bookmarkEnd w:id="4"/>
      <w:r w:rsidR="00707EC0" w:rsidRPr="00370317">
        <w:rPr>
          <w:rFonts w:cs="Times New Roman"/>
          <w:color w:val="FF0000"/>
        </w:rPr>
        <w:t xml:space="preserve"> </w:t>
      </w:r>
      <w:r>
        <w:rPr>
          <w:rFonts w:cs="Times New Roman"/>
        </w:rPr>
        <w:t xml:space="preserve"> </w:t>
      </w:r>
      <w:r w:rsidR="00AC6963">
        <w:rPr>
          <w:rFonts w:cs="Times New Roman"/>
        </w:rPr>
        <w:t>There are multiple publications dealing with the QM implications</w:t>
      </w:r>
      <w:r w:rsidR="00E10922">
        <w:rPr>
          <w:rStyle w:val="EndnoteReference"/>
          <w:iCs/>
        </w:rPr>
        <w:endnoteReference w:id="6"/>
      </w:r>
      <w:r w:rsidR="00E10922" w:rsidRPr="00CF5351">
        <w:rPr>
          <w:iCs/>
          <w:vertAlign w:val="superscript"/>
        </w:rPr>
        <w:t>,</w:t>
      </w:r>
      <w:r w:rsidR="00E10922">
        <w:rPr>
          <w:rStyle w:val="EndnoteReference"/>
          <w:iCs/>
        </w:rPr>
        <w:endnoteReference w:id="7"/>
      </w:r>
      <w:r w:rsidR="00E10922" w:rsidRPr="00CF5351">
        <w:rPr>
          <w:iCs/>
          <w:vertAlign w:val="superscript"/>
        </w:rPr>
        <w:t>,</w:t>
      </w:r>
      <w:r w:rsidR="00E10922">
        <w:rPr>
          <w:rStyle w:val="EndnoteReference"/>
          <w:iCs/>
        </w:rPr>
        <w:endnoteReference w:id="8"/>
      </w:r>
      <w:r w:rsidR="00E10922" w:rsidRPr="00CF5351">
        <w:rPr>
          <w:iCs/>
          <w:vertAlign w:val="superscript"/>
        </w:rPr>
        <w:t>,</w:t>
      </w:r>
      <w:r w:rsidR="00E10922">
        <w:rPr>
          <w:rStyle w:val="EndnoteReference"/>
          <w:iCs/>
        </w:rPr>
        <w:endnoteReference w:id="9"/>
      </w:r>
      <w:r w:rsidR="00E10922" w:rsidRPr="00CF5351">
        <w:rPr>
          <w:iCs/>
          <w:vertAlign w:val="superscript"/>
        </w:rPr>
        <w:t>,</w:t>
      </w:r>
      <w:r w:rsidR="00E10922">
        <w:rPr>
          <w:rStyle w:val="EndnoteReference"/>
          <w:iCs/>
        </w:rPr>
        <w:endnoteReference w:id="10"/>
      </w:r>
      <w:r w:rsidR="00E10922" w:rsidRPr="00CF5351">
        <w:rPr>
          <w:iCs/>
          <w:vertAlign w:val="superscript"/>
        </w:rPr>
        <w:t>,</w:t>
      </w:r>
      <w:r w:rsidR="00E10922">
        <w:rPr>
          <w:rStyle w:val="EndnoteReference"/>
          <w:iCs/>
        </w:rPr>
        <w:endnoteReference w:id="11"/>
      </w:r>
      <w:r w:rsidR="00ED2E15" w:rsidRPr="00CF5351">
        <w:rPr>
          <w:iCs/>
          <w:vertAlign w:val="superscript"/>
        </w:rPr>
        <w:t>,</w:t>
      </w:r>
      <w:r w:rsidR="00ED2E15">
        <w:rPr>
          <w:rStyle w:val="EndnoteReference"/>
          <w:iCs/>
        </w:rPr>
        <w:endnoteReference w:id="12"/>
      </w:r>
      <w:r w:rsidR="00ED2E15" w:rsidRPr="00CF5351">
        <w:rPr>
          <w:iCs/>
          <w:vertAlign w:val="superscript"/>
        </w:rPr>
        <w:t>,</w:t>
      </w:r>
      <w:r w:rsidR="00ED2E15">
        <w:rPr>
          <w:rStyle w:val="EndnoteReference"/>
          <w:iCs/>
        </w:rPr>
        <w:endnoteReference w:id="13"/>
      </w:r>
      <w:r w:rsidR="00ED2E15" w:rsidRPr="00CF5351">
        <w:rPr>
          <w:iCs/>
          <w:vertAlign w:val="superscript"/>
        </w:rPr>
        <w:t>,</w:t>
      </w:r>
      <w:r w:rsidR="00ED2E15">
        <w:rPr>
          <w:rStyle w:val="EndnoteReference"/>
          <w:iCs/>
        </w:rPr>
        <w:endnoteReference w:id="14"/>
      </w:r>
      <w:r w:rsidR="00ED2E15" w:rsidRPr="00CF5351">
        <w:rPr>
          <w:iCs/>
          <w:vertAlign w:val="superscript"/>
        </w:rPr>
        <w:t>,</w:t>
      </w:r>
      <w:r w:rsidR="00ED2E15">
        <w:rPr>
          <w:rStyle w:val="EndnoteReference"/>
          <w:iCs/>
        </w:rPr>
        <w:endnoteReference w:id="15"/>
      </w:r>
      <w:r w:rsidR="00ED2E15" w:rsidRPr="00CF5351">
        <w:rPr>
          <w:iCs/>
          <w:vertAlign w:val="superscript"/>
        </w:rPr>
        <w:t>,</w:t>
      </w:r>
      <w:r w:rsidR="00ED2E15">
        <w:rPr>
          <w:rStyle w:val="EndnoteReference"/>
          <w:iCs/>
        </w:rPr>
        <w:endnoteReference w:id="16"/>
      </w:r>
      <w:r w:rsidR="00ED2E15" w:rsidRPr="00CF5351">
        <w:rPr>
          <w:iCs/>
          <w:vertAlign w:val="superscript"/>
        </w:rPr>
        <w:t>,</w:t>
      </w:r>
      <w:r w:rsidR="00ED2E15">
        <w:rPr>
          <w:rStyle w:val="EndnoteReference"/>
          <w:iCs/>
        </w:rPr>
        <w:endnoteReference w:id="17"/>
      </w:r>
      <w:r w:rsidR="00ED2E15" w:rsidRPr="00CF5351">
        <w:rPr>
          <w:iCs/>
          <w:vertAlign w:val="superscript"/>
        </w:rPr>
        <w:t>,</w:t>
      </w:r>
      <w:r w:rsidR="00ED2E15">
        <w:rPr>
          <w:rStyle w:val="EndnoteReference"/>
          <w:iCs/>
        </w:rPr>
        <w:endnoteReference w:id="18"/>
      </w:r>
      <w:r w:rsidR="00AC6963">
        <w:rPr>
          <w:rFonts w:cs="Times New Roman"/>
        </w:rPr>
        <w:t xml:space="preserve"> as well as a related companion subject Excess Surface Work (ESW</w:t>
      </w:r>
      <w:r w:rsidR="00E10922" w:rsidRPr="00404BCC">
        <w:rPr>
          <w:rStyle w:val="EndnoteReference"/>
          <w:sz w:val="22"/>
          <w:szCs w:val="22"/>
        </w:rPr>
        <w:endnoteReference w:id="19"/>
      </w:r>
      <w:r w:rsidR="00E10922" w:rsidRPr="00404BCC">
        <w:rPr>
          <w:sz w:val="22"/>
          <w:szCs w:val="22"/>
          <w:vertAlign w:val="superscript"/>
        </w:rPr>
        <w:t>,</w:t>
      </w:r>
      <w:r w:rsidR="00E10922" w:rsidRPr="00404BCC">
        <w:rPr>
          <w:rStyle w:val="EndnoteReference"/>
          <w:sz w:val="22"/>
          <w:szCs w:val="22"/>
        </w:rPr>
        <w:endnoteReference w:id="20"/>
      </w:r>
      <w:r w:rsidR="00E10922" w:rsidRPr="00404BCC">
        <w:rPr>
          <w:sz w:val="22"/>
          <w:szCs w:val="22"/>
          <w:vertAlign w:val="superscript"/>
        </w:rPr>
        <w:t>,</w:t>
      </w:r>
      <w:bookmarkStart w:id="5" w:name="_Ref170987446"/>
      <w:r w:rsidR="00E10922" w:rsidRPr="00404BCC">
        <w:rPr>
          <w:rStyle w:val="EndnoteReference"/>
          <w:sz w:val="22"/>
          <w:szCs w:val="22"/>
        </w:rPr>
        <w:endnoteReference w:id="21"/>
      </w:r>
      <w:bookmarkEnd w:id="5"/>
      <w:r w:rsidR="00E10922" w:rsidRPr="00404BCC">
        <w:rPr>
          <w:sz w:val="22"/>
          <w:szCs w:val="22"/>
          <w:vertAlign w:val="superscript"/>
        </w:rPr>
        <w:t>,</w:t>
      </w:r>
      <w:bookmarkStart w:id="6" w:name="_Ref170987595"/>
      <w:r w:rsidR="00E10922" w:rsidRPr="00404BCC">
        <w:rPr>
          <w:rStyle w:val="EndnoteReference"/>
          <w:sz w:val="22"/>
          <w:szCs w:val="22"/>
        </w:rPr>
        <w:endnoteReference w:id="22"/>
      </w:r>
      <w:bookmarkStart w:id="7" w:name="_Ref170987600"/>
      <w:bookmarkEnd w:id="6"/>
      <w:r w:rsidR="004C029C">
        <w:rPr>
          <w:rStyle w:val="EndnoteReference"/>
          <w:sz w:val="22"/>
          <w:szCs w:val="22"/>
        </w:rPr>
        <w:endnoteReference w:id="23"/>
      </w:r>
      <w:bookmarkEnd w:id="7"/>
      <w:r w:rsidR="00AC6963">
        <w:rPr>
          <w:rFonts w:cs="Times New Roman"/>
        </w:rPr>
        <w:t>.)</w:t>
      </w:r>
      <w:r w:rsidR="00C178E0">
        <w:rPr>
          <w:rFonts w:cs="Times New Roman"/>
        </w:rPr>
        <w:t xml:space="preserve">  </w:t>
      </w:r>
      <w:r w:rsidR="003C6A7F">
        <w:rPr>
          <w:rFonts w:cs="Times New Roman"/>
        </w:rPr>
        <w:t>ESW and QM were developed at about the same time independently by groups that had no information exchange.  The two hypotheses end up with the same equation and conclusion</w:t>
      </w:r>
      <w:r w:rsidR="00167FBA">
        <w:rPr>
          <w:rFonts w:cs="Times New Roman"/>
        </w:rPr>
        <w:t xml:space="preserve">, thus they will be designated by QM/ESW </w:t>
      </w:r>
      <w:r w:rsidR="00986DDF">
        <w:rPr>
          <w:rFonts w:cs="Times New Roman"/>
        </w:rPr>
        <w:t>From here on</w:t>
      </w:r>
      <w:r w:rsidR="003C6A7F">
        <w:rPr>
          <w:rFonts w:cs="Times New Roman"/>
        </w:rPr>
        <w:t xml:space="preserve">.  </w:t>
      </w:r>
      <w:r w:rsidR="00F058C0">
        <w:rPr>
          <w:rFonts w:cs="Times New Roman"/>
        </w:rPr>
        <w:t xml:space="preserve">Another place to obtain information is the </w:t>
      </w:r>
      <w:r w:rsidR="00C178E0">
        <w:rPr>
          <w:rFonts w:cs="Times New Roman"/>
        </w:rPr>
        <w:t>les</w:t>
      </w:r>
      <w:r w:rsidR="00144C95">
        <w:rPr>
          <w:rFonts w:cs="Times New Roman"/>
        </w:rPr>
        <w:t>s</w:t>
      </w:r>
      <w:r w:rsidR="00C178E0">
        <w:rPr>
          <w:rFonts w:cs="Times New Roman"/>
        </w:rPr>
        <w:t>on plan created for University of Tennessee’s surface science group</w:t>
      </w:r>
      <w:bookmarkStart w:id="8" w:name="_Ref168930219"/>
      <w:r w:rsidR="00D92DC1">
        <w:rPr>
          <w:rStyle w:val="FootnoteReference"/>
          <w:rFonts w:cs="Times New Roman"/>
        </w:rPr>
        <w:footnoteReference w:id="6"/>
      </w:r>
      <w:bookmarkEnd w:id="8"/>
      <w:r w:rsidR="00C178E0">
        <w:rPr>
          <w:rFonts w:cs="Times New Roman"/>
        </w:rPr>
        <w:t>.</w:t>
      </w:r>
    </w:p>
    <w:p w14:paraId="106D17CB" w14:textId="77777777" w:rsidR="00716332" w:rsidRDefault="00C850A5" w:rsidP="00543A53">
      <w:pPr>
        <w:pStyle w:val="NoSpacing"/>
        <w:rPr>
          <w:rFonts w:cs="Times New Roman"/>
        </w:rPr>
      </w:pPr>
      <w:r>
        <w:rPr>
          <w:rFonts w:cs="Times New Roman"/>
        </w:rPr>
        <w:t xml:space="preserve"> </w:t>
      </w:r>
    </w:p>
    <w:p w14:paraId="0F68C967" w14:textId="435AE0C1" w:rsidR="00C850A5" w:rsidRDefault="00C850A5" w:rsidP="00543A53">
      <w:pPr>
        <w:pStyle w:val="NoSpacing"/>
        <w:rPr>
          <w:rFonts w:cs="Times New Roman"/>
        </w:rPr>
      </w:pPr>
      <w:r>
        <w:rPr>
          <w:rFonts w:cs="Times New Roman"/>
        </w:rPr>
        <w:t>Of necessity, the effect of heterogeneity needs some explaining, since it is nearly impossible to find totally homogeneous samples for illustration.</w:t>
      </w:r>
    </w:p>
    <w:p w14:paraId="082CE4A0" w14:textId="77777777" w:rsidR="00543A53" w:rsidRDefault="00543A53" w:rsidP="00543A53">
      <w:pPr>
        <w:pStyle w:val="NoSpacing"/>
        <w:rPr>
          <w:rFonts w:cs="Times New Roman"/>
        </w:rPr>
      </w:pPr>
    </w:p>
    <w:p w14:paraId="5E6BB39E" w14:textId="77777777" w:rsidR="00DC31FB" w:rsidRDefault="00DC31FB" w:rsidP="00C8234A">
      <w:pPr>
        <w:pStyle w:val="NoSpacing"/>
        <w:outlineLvl w:val="0"/>
        <w:rPr>
          <w:rFonts w:cs="Times New Roman"/>
          <w:b/>
          <w:bCs/>
        </w:rPr>
      </w:pPr>
      <w:bookmarkStart w:id="9" w:name="_Toc171582125"/>
      <w:r>
        <w:rPr>
          <w:rFonts w:cs="Times New Roman"/>
          <w:b/>
          <w:bCs/>
        </w:rPr>
        <w:t>Some basic concepts and definitions:</w:t>
      </w:r>
      <w:bookmarkEnd w:id="9"/>
    </w:p>
    <w:p w14:paraId="6519271F" w14:textId="77777777" w:rsidR="00543A53" w:rsidRDefault="00543A53" w:rsidP="00543A53">
      <w:pPr>
        <w:pStyle w:val="NoSpacing"/>
      </w:pPr>
    </w:p>
    <w:p w14:paraId="64D68EAF" w14:textId="17B337E2" w:rsidR="00485C08" w:rsidRDefault="00485C08" w:rsidP="000A7BB8">
      <w:pPr>
        <w:pStyle w:val="NoSpacing"/>
        <w:numPr>
          <w:ilvl w:val="0"/>
          <w:numId w:val="20"/>
        </w:numPr>
      </w:pPr>
      <w:r>
        <w:t>Thermodynamic system consists of the adsorbent and adsorbate only.  It is an open system.</w:t>
      </w:r>
    </w:p>
    <w:p w14:paraId="162CCB0F" w14:textId="24574806" w:rsidR="004A3816" w:rsidRDefault="00DC31FB" w:rsidP="000A7BB8">
      <w:pPr>
        <w:pStyle w:val="NoSpacing"/>
        <w:numPr>
          <w:ilvl w:val="0"/>
          <w:numId w:val="20"/>
        </w:numPr>
      </w:pPr>
      <w:r>
        <w:t xml:space="preserve">Adsorptive = the gas species that is in contact with the </w:t>
      </w:r>
      <w:r w:rsidR="007E4F22">
        <w:t>adsorbent and adsorbate</w:t>
      </w:r>
      <w:r>
        <w:t xml:space="preserve">.  </w:t>
      </w:r>
      <w:r w:rsidR="00292D9C">
        <w:t>T</w:t>
      </w:r>
      <w:r w:rsidR="00202651">
        <w:t>he adsorptive</w:t>
      </w:r>
      <w:r>
        <w:t xml:space="preserve"> is not part of the open thermodynamic system.</w:t>
      </w:r>
    </w:p>
    <w:p w14:paraId="4F76BF1D" w14:textId="04703B7F" w:rsidR="004A3816" w:rsidRDefault="00DC31FB" w:rsidP="000A7BB8">
      <w:pPr>
        <w:pStyle w:val="NoSpacing"/>
        <w:numPr>
          <w:ilvl w:val="0"/>
          <w:numId w:val="20"/>
        </w:numPr>
      </w:pPr>
      <w:r>
        <w:lastRenderedPageBreak/>
        <w:t>Adsorbate = the same component as the adsorptive except it is adhered to the solid material and is part of the thermodynamic system.</w:t>
      </w:r>
      <w:r w:rsidR="00986DDF">
        <w:t xml:space="preserve">  This is measured in both the volumetric and gravimetric experiments as part of the system.</w:t>
      </w:r>
    </w:p>
    <w:p w14:paraId="198E8C03" w14:textId="663DAC7A" w:rsidR="004A3816" w:rsidRPr="004A3816" w:rsidRDefault="00DC31FB" w:rsidP="000A7BB8">
      <w:pPr>
        <w:pStyle w:val="NoSpacing"/>
        <w:numPr>
          <w:ilvl w:val="0"/>
          <w:numId w:val="20"/>
        </w:numPr>
        <w:rPr>
          <w:rFonts w:cs="Times New Roman"/>
        </w:rPr>
      </w:pPr>
      <w:r>
        <w:t>Adsorbent = the solid material (part of the thermodynamic system.)</w:t>
      </w:r>
    </w:p>
    <w:p w14:paraId="0C9E05B7" w14:textId="3C0660D2" w:rsidR="002A6A5B" w:rsidRDefault="00DC31FB" w:rsidP="000A7BB8">
      <w:pPr>
        <w:pStyle w:val="NoSpacing"/>
        <w:numPr>
          <w:ilvl w:val="0"/>
          <w:numId w:val="20"/>
        </w:numPr>
        <w:rPr>
          <w:rFonts w:cs="Times New Roman"/>
        </w:rPr>
      </w:pPr>
      <w:r w:rsidRPr="004A3816">
        <w:rPr>
          <w:rFonts w:cs="Times New Roman"/>
        </w:rPr>
        <w:t xml:space="preserve">Compound = </w:t>
      </w:r>
      <w:r w:rsidR="002A6A5B" w:rsidRPr="004A3816">
        <w:rPr>
          <w:rFonts w:cs="Times New Roman"/>
        </w:rPr>
        <w:t>a chemically bonded entity which cannot be separated by evaporation, freezing</w:t>
      </w:r>
      <w:r w:rsidR="004A3816" w:rsidRPr="004A3816">
        <w:rPr>
          <w:rFonts w:cs="Times New Roman"/>
        </w:rPr>
        <w:t>, centrifuging</w:t>
      </w:r>
      <w:r w:rsidR="002A6A5B" w:rsidRPr="004A3816">
        <w:rPr>
          <w:rFonts w:cs="Times New Roman"/>
        </w:rPr>
        <w:t xml:space="preserve"> or other low energy processes.</w:t>
      </w:r>
    </w:p>
    <w:p w14:paraId="254E00EB" w14:textId="008A1815" w:rsidR="00D76600" w:rsidRDefault="00D76600" w:rsidP="000A7BB8">
      <w:pPr>
        <w:pStyle w:val="NoSpacing"/>
        <w:numPr>
          <w:ilvl w:val="0"/>
          <w:numId w:val="20"/>
        </w:numPr>
        <w:rPr>
          <w:rFonts w:cs="Times New Roman"/>
        </w:rPr>
      </w:pPr>
      <w:r>
        <w:rPr>
          <w:rFonts w:cs="Times New Roman"/>
        </w:rPr>
        <w:t>Component consists of a single compound</w:t>
      </w:r>
      <w:r w:rsidR="00202651">
        <w:rPr>
          <w:rFonts w:cs="Times New Roman"/>
        </w:rPr>
        <w:t>.</w:t>
      </w:r>
    </w:p>
    <w:p w14:paraId="3C85FD21" w14:textId="13753BBE" w:rsidR="00DC31FB" w:rsidRDefault="004A3816" w:rsidP="000A7BB8">
      <w:pPr>
        <w:pStyle w:val="NoSpacing"/>
        <w:numPr>
          <w:ilvl w:val="0"/>
          <w:numId w:val="20"/>
        </w:numPr>
        <w:rPr>
          <w:rFonts w:cs="Times New Roman"/>
        </w:rPr>
      </w:pPr>
      <w:r w:rsidRPr="004A3816">
        <w:rPr>
          <w:rFonts w:cs="Times New Roman"/>
        </w:rPr>
        <w:t>Phase = A homogeneous grouping of a component or components, such as a liquid</w:t>
      </w:r>
      <w:r w:rsidR="00485C08">
        <w:rPr>
          <w:rFonts w:cs="Times New Roman"/>
        </w:rPr>
        <w:t>,</w:t>
      </w:r>
      <w:r w:rsidRPr="004A3816">
        <w:rPr>
          <w:rFonts w:cs="Times New Roman"/>
        </w:rPr>
        <w:t xml:space="preserve"> a solid</w:t>
      </w:r>
      <w:r w:rsidR="00202651">
        <w:rPr>
          <w:rFonts w:cs="Times New Roman"/>
        </w:rPr>
        <w:t xml:space="preserve">, a </w:t>
      </w:r>
      <w:r w:rsidR="00017F8E">
        <w:rPr>
          <w:rFonts w:cs="Times New Roman"/>
        </w:rPr>
        <w:t>solution</w:t>
      </w:r>
      <w:r w:rsidR="00202651">
        <w:rPr>
          <w:rFonts w:cs="Times New Roman"/>
        </w:rPr>
        <w:t>,</w:t>
      </w:r>
      <w:r w:rsidRPr="004A3816">
        <w:rPr>
          <w:rFonts w:cs="Times New Roman"/>
        </w:rPr>
        <w:t xml:space="preserve"> or a gas</w:t>
      </w:r>
    </w:p>
    <w:p w14:paraId="7B4CB8F2" w14:textId="6E73AC74" w:rsidR="00D76600" w:rsidRDefault="00D76600" w:rsidP="000A7BB8">
      <w:pPr>
        <w:pStyle w:val="NoSpacing"/>
        <w:numPr>
          <w:ilvl w:val="0"/>
          <w:numId w:val="20"/>
        </w:numPr>
        <w:rPr>
          <w:rFonts w:cs="Times New Roman"/>
        </w:rPr>
      </w:pPr>
      <w:r>
        <w:rPr>
          <w:rFonts w:cs="Times New Roman"/>
        </w:rPr>
        <w:t xml:space="preserve">Chemical reaction = is the energetic interaction between components or within a component which changes the topography of the </w:t>
      </w:r>
      <w:r w:rsidR="00F058C0">
        <w:rPr>
          <w:rFonts w:cs="Times New Roman"/>
        </w:rPr>
        <w:t>compounds</w:t>
      </w:r>
      <w:r w:rsidR="005C7F4B">
        <w:rPr>
          <w:rFonts w:cs="Times New Roman"/>
        </w:rPr>
        <w:t>’</w:t>
      </w:r>
      <w:r w:rsidR="00F058C0">
        <w:rPr>
          <w:rFonts w:cs="Times New Roman"/>
        </w:rPr>
        <w:t xml:space="preserve"> </w:t>
      </w:r>
      <w:r>
        <w:rPr>
          <w:rFonts w:cs="Times New Roman"/>
        </w:rPr>
        <w:t>electrons.  A reaction can be an attractive or repulsive force.</w:t>
      </w:r>
    </w:p>
    <w:p w14:paraId="66C2C635" w14:textId="77777777" w:rsidR="006E0FFB" w:rsidRDefault="00D76600" w:rsidP="00543A53">
      <w:pPr>
        <w:pStyle w:val="NoSpacing"/>
        <w:numPr>
          <w:ilvl w:val="0"/>
          <w:numId w:val="20"/>
        </w:numPr>
        <w:rPr>
          <w:rFonts w:cs="Times New Roman"/>
        </w:rPr>
      </w:pPr>
      <w:r>
        <w:rPr>
          <w:rFonts w:cs="Times New Roman"/>
        </w:rPr>
        <w:t xml:space="preserve">Physical forces </w:t>
      </w:r>
      <w:r w:rsidR="00E92D8F">
        <w:rPr>
          <w:rFonts w:cs="Times New Roman"/>
        </w:rPr>
        <w:t xml:space="preserve">= these </w:t>
      </w:r>
      <w:r>
        <w:rPr>
          <w:rFonts w:cs="Times New Roman"/>
        </w:rPr>
        <w:t>includ</w:t>
      </w:r>
      <w:r w:rsidR="00543A53">
        <w:rPr>
          <w:rFonts w:cs="Times New Roman"/>
        </w:rPr>
        <w:t>e</w:t>
      </w:r>
      <w:r>
        <w:rPr>
          <w:rFonts w:cs="Times New Roman"/>
        </w:rPr>
        <w:t xml:space="preserve"> dipolar-dipolar, dipolar-induced dipolar, London forces, “hydrogen bonding,” or other non-chemical forces.  Physical forces do not change the topography of the involved electrons</w:t>
      </w:r>
      <w:r w:rsidR="009250E5">
        <w:rPr>
          <w:rFonts w:cs="Times New Roman"/>
        </w:rPr>
        <w:t>, although it may distort the geometry of system components.</w:t>
      </w:r>
    </w:p>
    <w:p w14:paraId="5E7EF8C9" w14:textId="592475A9" w:rsidR="00450031" w:rsidRPr="006E0FFB" w:rsidRDefault="00450031" w:rsidP="00543A53">
      <w:pPr>
        <w:pStyle w:val="NoSpacing"/>
        <w:numPr>
          <w:ilvl w:val="0"/>
          <w:numId w:val="20"/>
        </w:numPr>
        <w:rPr>
          <w:rFonts w:cs="Times New Roman"/>
        </w:rPr>
      </w:pPr>
      <w:r w:rsidRPr="006E0FFB">
        <w:rPr>
          <w:rFonts w:cs="Times New Roman"/>
        </w:rPr>
        <w:t>Microporous = pores that can be explained by a fit to the log-law of first layer equation.</w:t>
      </w:r>
    </w:p>
    <w:p w14:paraId="1BF35962" w14:textId="77777777" w:rsidR="00543A53" w:rsidRDefault="00543A53" w:rsidP="00543A53">
      <w:pPr>
        <w:pStyle w:val="NoSpacing"/>
        <w:rPr>
          <w:rFonts w:cs="Times New Roman"/>
        </w:rPr>
      </w:pPr>
    </w:p>
    <w:p w14:paraId="05DBCB64" w14:textId="4372E266" w:rsidR="00D11E5B" w:rsidRDefault="00330223" w:rsidP="00543A53">
      <w:pPr>
        <w:pStyle w:val="NoSpacing"/>
        <w:rPr>
          <w:rFonts w:cs="Times New Roman"/>
        </w:rPr>
      </w:pPr>
      <w:r>
        <w:rPr>
          <w:rFonts w:cs="Times New Roman"/>
        </w:rPr>
        <w:t>C</w:t>
      </w:r>
      <w:r w:rsidR="00D76600">
        <w:rPr>
          <w:rFonts w:cs="Times New Roman"/>
        </w:rPr>
        <w:t>hemisorption changes the topography of the adsorbate, whereas physisorption does not</w:t>
      </w:r>
      <w:r w:rsidR="00F36729">
        <w:rPr>
          <w:rFonts w:cs="Times New Roman"/>
        </w:rPr>
        <w:t>.</w:t>
      </w:r>
      <w:r>
        <w:rPr>
          <w:rFonts w:cs="Times New Roman"/>
        </w:rPr>
        <w:t xml:space="preserve">  This is the important distinction between the two.</w:t>
      </w:r>
      <w:r w:rsidR="00F058C0">
        <w:rPr>
          <w:rFonts w:cs="Times New Roman"/>
        </w:rPr>
        <w:t xml:space="preserve">  In </w:t>
      </w:r>
      <w:proofErr w:type="gramStart"/>
      <w:r w:rsidR="00F058C0">
        <w:rPr>
          <w:rFonts w:cs="Times New Roman"/>
        </w:rPr>
        <w:t>the literature</w:t>
      </w:r>
      <w:proofErr w:type="gramEnd"/>
      <w:r w:rsidR="00F058C0">
        <w:rPr>
          <w:rFonts w:cs="Times New Roman"/>
        </w:rPr>
        <w:t xml:space="preserve"> other distinction</w:t>
      </w:r>
      <w:r w:rsidR="007E4F22">
        <w:rPr>
          <w:rFonts w:cs="Times New Roman"/>
        </w:rPr>
        <w:t>s</w:t>
      </w:r>
      <w:r w:rsidR="00F058C0">
        <w:rPr>
          <w:rFonts w:cs="Times New Roman"/>
        </w:rPr>
        <w:t xml:space="preserve"> are made, but this on</w:t>
      </w:r>
      <w:r w:rsidR="009250E5">
        <w:rPr>
          <w:rFonts w:cs="Times New Roman"/>
        </w:rPr>
        <w:t>e</w:t>
      </w:r>
      <w:r w:rsidR="00F058C0">
        <w:rPr>
          <w:rFonts w:cs="Times New Roman"/>
        </w:rPr>
        <w:t xml:space="preserve"> has no exceptions.  </w:t>
      </w:r>
      <w:r w:rsidR="00D11E5B">
        <w:rPr>
          <w:rFonts w:cs="Times New Roman"/>
        </w:rPr>
        <w:t>Fo</w:t>
      </w:r>
      <w:r w:rsidR="00F058C0">
        <w:rPr>
          <w:rFonts w:cs="Times New Roman"/>
        </w:rPr>
        <w:t>r</w:t>
      </w:r>
      <w:r w:rsidR="00D11E5B">
        <w:rPr>
          <w:rFonts w:cs="Times New Roman"/>
        </w:rPr>
        <w:t xml:space="preserve"> a complete discussion of the difference, see chapter VI for physical forces and chapter VII for chemical forces, or bond</w:t>
      </w:r>
      <w:r w:rsidR="007956A9">
        <w:rPr>
          <w:rFonts w:cs="Times New Roman"/>
        </w:rPr>
        <w:t>s</w:t>
      </w:r>
      <w:r w:rsidR="00D11E5B">
        <w:rPr>
          <w:rFonts w:cs="Times New Roman"/>
        </w:rPr>
        <w:t>, in the book by Clark</w:t>
      </w:r>
      <w:r w:rsidR="007956A9" w:rsidRPr="005C7F4B">
        <w:rPr>
          <w:rStyle w:val="EndnoteReference"/>
          <w:rFonts w:cs="Times New Roman"/>
        </w:rPr>
        <w:endnoteReference w:id="24"/>
      </w:r>
      <w:r w:rsidR="007956A9">
        <w:rPr>
          <w:rFonts w:cs="Times New Roman"/>
        </w:rPr>
        <w:t>. This explains what most chemist understand about the difference between “intermolecular forces” and “chemical bonds.”</w:t>
      </w:r>
    </w:p>
    <w:p w14:paraId="717022EF" w14:textId="77777777" w:rsidR="002B5EAC" w:rsidRDefault="002B5EAC" w:rsidP="00543A53">
      <w:pPr>
        <w:pStyle w:val="NoSpacing"/>
        <w:rPr>
          <w:rFonts w:cs="Times New Roman"/>
        </w:rPr>
      </w:pPr>
    </w:p>
    <w:p w14:paraId="3C0B5DD0" w14:textId="57616CA0" w:rsidR="00450031" w:rsidRDefault="001B6509" w:rsidP="00C8234A">
      <w:pPr>
        <w:pStyle w:val="NoSpacing"/>
        <w:outlineLvl w:val="0"/>
        <w:rPr>
          <w:rFonts w:cs="Times New Roman"/>
          <w:b/>
          <w:bCs/>
        </w:rPr>
      </w:pPr>
      <w:bookmarkStart w:id="10" w:name="_Toc171582126"/>
      <w:r>
        <w:rPr>
          <w:rFonts w:cs="Times New Roman"/>
          <w:b/>
          <w:bCs/>
        </w:rPr>
        <w:t xml:space="preserve">Part I </w:t>
      </w:r>
      <w:r w:rsidR="00235515">
        <w:rPr>
          <w:rFonts w:cs="Times New Roman"/>
          <w:b/>
          <w:bCs/>
        </w:rPr>
        <w:t>Two</w:t>
      </w:r>
      <w:r>
        <w:rPr>
          <w:rFonts w:cs="Times New Roman"/>
          <w:b/>
          <w:bCs/>
        </w:rPr>
        <w:t xml:space="preserve"> problem</w:t>
      </w:r>
      <w:r w:rsidR="00365E3C">
        <w:rPr>
          <w:rFonts w:cs="Times New Roman"/>
          <w:b/>
          <w:bCs/>
        </w:rPr>
        <w:t>s</w:t>
      </w:r>
      <w:r>
        <w:rPr>
          <w:rFonts w:cs="Times New Roman"/>
          <w:b/>
          <w:bCs/>
        </w:rPr>
        <w:t xml:space="preserve"> with the BET theory.</w:t>
      </w:r>
      <w:bookmarkEnd w:id="10"/>
    </w:p>
    <w:p w14:paraId="421A02FF" w14:textId="77777777" w:rsidR="006E0FFB" w:rsidRDefault="006E0FFB" w:rsidP="00543A53">
      <w:pPr>
        <w:pStyle w:val="NoSpacing"/>
        <w:rPr>
          <w:rFonts w:cs="Times New Roman"/>
          <w:b/>
          <w:bCs/>
        </w:rPr>
      </w:pPr>
    </w:p>
    <w:p w14:paraId="2587BD54" w14:textId="22DA453D" w:rsidR="00F36729" w:rsidRDefault="00ED7F54" w:rsidP="00E92D8F">
      <w:pPr>
        <w:pStyle w:val="NoSpacing"/>
        <w:rPr>
          <w:rFonts w:cs="Times New Roman"/>
        </w:rPr>
      </w:pPr>
      <w:r>
        <w:rPr>
          <w:rFonts w:cs="Times New Roman"/>
        </w:rPr>
        <w:t>T</w:t>
      </w:r>
      <w:r w:rsidR="00DC31FB">
        <w:rPr>
          <w:rFonts w:cs="Times New Roman"/>
        </w:rPr>
        <w:t>he BET theory has the following form</w:t>
      </w:r>
      <w:r w:rsidR="00445EB3">
        <w:rPr>
          <w:rFonts w:cs="Times New Roman"/>
        </w:rPr>
        <w:t xml:space="preserve"> in </w:t>
      </w:r>
      <w:r w:rsidR="00445EB3">
        <w:rPr>
          <w:rFonts w:cs="Times New Roman"/>
        </w:rPr>
        <w:fldChar w:fldCharType="begin"/>
      </w:r>
      <w:r w:rsidR="00445EB3">
        <w:rPr>
          <w:rFonts w:cs="Times New Roman"/>
        </w:rPr>
        <w:instrText xml:space="preserve"> REF _Ref169163628 \h </w:instrText>
      </w:r>
      <w:r w:rsidR="00445EB3">
        <w:rPr>
          <w:rFonts w:cs="Times New Roman"/>
        </w:rPr>
      </w:r>
      <w:r w:rsidR="00445EB3">
        <w:rPr>
          <w:rFonts w:cs="Times New Roman"/>
        </w:rPr>
        <w:fldChar w:fldCharType="separate"/>
      </w:r>
      <w:r w:rsidR="00040CA9" w:rsidRPr="00445EB3">
        <w:rPr>
          <w:i/>
          <w:iCs/>
        </w:rPr>
        <w:t xml:space="preserve">Equation </w:t>
      </w:r>
      <w:r w:rsidR="00040CA9">
        <w:rPr>
          <w:i/>
          <w:iCs/>
          <w:noProof/>
        </w:rPr>
        <w:t>1</w:t>
      </w:r>
      <w:r w:rsidR="00445EB3">
        <w:rPr>
          <w:rFonts w:cs="Times New Roman"/>
        </w:rPr>
        <w:fldChar w:fldCharType="end"/>
      </w:r>
      <w:r w:rsidR="00DC31FB">
        <w:rPr>
          <w:rFonts w:cs="Times New Roman"/>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F36729" w14:paraId="72997CC9" w14:textId="77777777" w:rsidTr="00A629F3">
        <w:tc>
          <w:tcPr>
            <w:tcW w:w="9350" w:type="dxa"/>
          </w:tcPr>
          <w:p w14:paraId="6C9E3BFF" w14:textId="043E19E5" w:rsidR="0066276D" w:rsidRDefault="0066276D" w:rsidP="00E92D8F">
            <w:pPr>
              <w:pStyle w:val="NoSpacing"/>
              <w:jc w:val="center"/>
            </w:pPr>
            <w:r w:rsidRPr="00BE146B">
              <w:rPr>
                <w:position w:val="-42"/>
              </w:rPr>
              <w:object w:dxaOrig="6000" w:dyaOrig="920" w14:anchorId="660C4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9pt;height:33.4pt" o:ole="">
                  <v:imagedata r:id="rId8" o:title=""/>
                </v:shape>
                <o:OLEObject Type="Embed" ProgID="Equation.DSMT4" ShapeID="_x0000_i1025" DrawAspect="Content" ObjectID="_1782235228" r:id="rId9"/>
              </w:object>
            </w:r>
          </w:p>
          <w:p w14:paraId="69CCD879" w14:textId="152E9716" w:rsidR="00F36729" w:rsidRPr="00445EB3" w:rsidRDefault="0066276D" w:rsidP="00E92D8F">
            <w:pPr>
              <w:pStyle w:val="NoSpacing"/>
              <w:jc w:val="center"/>
              <w:rPr>
                <w:i/>
                <w:iCs/>
              </w:rPr>
            </w:pPr>
            <w:bookmarkStart w:id="11" w:name="_Ref169163628"/>
            <w:r w:rsidRPr="00445EB3">
              <w:rPr>
                <w:i/>
                <w:iCs/>
              </w:rPr>
              <w:t xml:space="preserve">Equation </w:t>
            </w:r>
            <w:r w:rsidRPr="00445EB3">
              <w:rPr>
                <w:i/>
                <w:iCs/>
              </w:rPr>
              <w:fldChar w:fldCharType="begin"/>
            </w:r>
            <w:r w:rsidRPr="00445EB3">
              <w:rPr>
                <w:i/>
                <w:iCs/>
              </w:rPr>
              <w:instrText xml:space="preserve"> SEQ Equation \* ARABIC </w:instrText>
            </w:r>
            <w:r w:rsidRPr="00445EB3">
              <w:rPr>
                <w:i/>
                <w:iCs/>
              </w:rPr>
              <w:fldChar w:fldCharType="separate"/>
            </w:r>
            <w:r w:rsidR="00040CA9">
              <w:rPr>
                <w:i/>
                <w:iCs/>
                <w:noProof/>
              </w:rPr>
              <w:t>1</w:t>
            </w:r>
            <w:r w:rsidRPr="00445EB3">
              <w:rPr>
                <w:i/>
                <w:iCs/>
              </w:rPr>
              <w:fldChar w:fldCharType="end"/>
            </w:r>
            <w:bookmarkEnd w:id="11"/>
            <w:r w:rsidR="007969F1" w:rsidRPr="00445EB3">
              <w:rPr>
                <w:i/>
                <w:iCs/>
              </w:rPr>
              <w:t xml:space="preserve"> the BET equation</w:t>
            </w:r>
          </w:p>
        </w:tc>
      </w:tr>
    </w:tbl>
    <w:p w14:paraId="667B006B" w14:textId="77777777" w:rsidR="00445EB3" w:rsidRDefault="00445EB3" w:rsidP="00543A53">
      <w:pPr>
        <w:pStyle w:val="NoSpacing"/>
      </w:pPr>
    </w:p>
    <w:p w14:paraId="05551B44" w14:textId="5C849CAA" w:rsidR="00F36729" w:rsidRDefault="00F36729" w:rsidP="00543A53">
      <w:pPr>
        <w:pStyle w:val="NoSpacing"/>
      </w:pPr>
      <w:r>
        <w:t>The symbolism is as follows:</w:t>
      </w:r>
    </w:p>
    <w:p w14:paraId="14EAEFC9" w14:textId="77777777" w:rsidR="007D4CFE" w:rsidRDefault="007D4CFE" w:rsidP="00543A53">
      <w:pPr>
        <w:pStyle w:val="NoSpacing"/>
        <w:rPr>
          <w:i/>
          <w:iCs/>
        </w:rPr>
      </w:pPr>
    </w:p>
    <w:p w14:paraId="2D03B714" w14:textId="575CE547" w:rsidR="00F36729" w:rsidRDefault="00F36729" w:rsidP="007D4CFE">
      <w:pPr>
        <w:pStyle w:val="NoSpacing"/>
        <w:numPr>
          <w:ilvl w:val="0"/>
          <w:numId w:val="24"/>
        </w:numPr>
      </w:pPr>
      <w:r>
        <w:rPr>
          <w:i/>
          <w:iCs/>
        </w:rPr>
        <w:t>n</w:t>
      </w:r>
      <w:r w:rsidRPr="00962127">
        <w:rPr>
          <w:vertAlign w:val="subscript"/>
        </w:rPr>
        <w:t>a</w:t>
      </w:r>
      <w:r>
        <w:t xml:space="preserve"> = moles of adsorbate</w:t>
      </w:r>
    </w:p>
    <w:p w14:paraId="029336A9" w14:textId="77777777" w:rsidR="00F36729" w:rsidRDefault="00F36729" w:rsidP="007D4CFE">
      <w:pPr>
        <w:pStyle w:val="NoSpacing"/>
        <w:numPr>
          <w:ilvl w:val="0"/>
          <w:numId w:val="24"/>
        </w:numPr>
      </w:pPr>
      <w:r>
        <w:rPr>
          <w:i/>
          <w:iCs/>
        </w:rPr>
        <w:t>n</w:t>
      </w:r>
      <w:r>
        <w:rPr>
          <w:vertAlign w:val="subscript"/>
        </w:rPr>
        <w:t>m</w:t>
      </w:r>
      <w:r>
        <w:t xml:space="preserve"> = the maximum moles of adsorbate that can be in direct contact with the adsorbent surface</w:t>
      </w:r>
    </w:p>
    <w:p w14:paraId="64A4B44E" w14:textId="77777777" w:rsidR="00F36729" w:rsidRDefault="00F36729" w:rsidP="007D4CFE">
      <w:pPr>
        <w:pStyle w:val="NoSpacing"/>
        <w:numPr>
          <w:ilvl w:val="0"/>
          <w:numId w:val="24"/>
        </w:numPr>
      </w:pPr>
      <w:r>
        <w:rPr>
          <w:i/>
          <w:iCs/>
        </w:rPr>
        <w:t xml:space="preserve">P = </w:t>
      </w:r>
      <w:r>
        <w:t xml:space="preserve">the adsorptive pressure </w:t>
      </w:r>
    </w:p>
    <w:p w14:paraId="1DA5F60C" w14:textId="77777777" w:rsidR="00F36729" w:rsidRDefault="00F36729" w:rsidP="007D4CFE">
      <w:pPr>
        <w:pStyle w:val="NoSpacing"/>
        <w:numPr>
          <w:ilvl w:val="0"/>
          <w:numId w:val="24"/>
        </w:numPr>
      </w:pPr>
      <w:r>
        <w:rPr>
          <w:i/>
          <w:iCs/>
        </w:rPr>
        <w:t>P</w:t>
      </w:r>
      <w:r>
        <w:rPr>
          <w:vertAlign w:val="subscript"/>
        </w:rPr>
        <w:t>vap</w:t>
      </w:r>
      <w:r>
        <w:t xml:space="preserve"> = the vapor pressure of the adsorptive at the temperature of the adsorbent.</w:t>
      </w:r>
    </w:p>
    <w:p w14:paraId="02DCEF73" w14:textId="77777777" w:rsidR="00F36729" w:rsidRPr="005B7B3A" w:rsidRDefault="00F36729" w:rsidP="007D4CFE">
      <w:pPr>
        <w:pStyle w:val="NoSpacing"/>
        <w:numPr>
          <w:ilvl w:val="0"/>
          <w:numId w:val="24"/>
        </w:numPr>
      </w:pPr>
      <w:r>
        <w:rPr>
          <w:i/>
          <w:iCs/>
        </w:rPr>
        <w:t>C</w:t>
      </w:r>
      <w:r>
        <w:t xml:space="preserve"> = The “BET </w:t>
      </w:r>
      <w:r>
        <w:rPr>
          <w:i/>
          <w:iCs/>
        </w:rPr>
        <w:t>C”</w:t>
      </w:r>
      <w:r>
        <w:t xml:space="preserve"> constant</w:t>
      </w:r>
    </w:p>
    <w:p w14:paraId="4BAC0BD4" w14:textId="77777777" w:rsidR="00225AC6" w:rsidRDefault="00F36729" w:rsidP="00543A53">
      <w:pPr>
        <w:pStyle w:val="NoSpacing"/>
      </w:pPr>
      <w:r>
        <w:t xml:space="preserve">The symbol </w:t>
      </w:r>
      <w:r>
        <w:rPr>
          <w:rFonts w:cs="Times New Roman"/>
        </w:rPr>
        <w:t>θ</w:t>
      </w:r>
      <w:r>
        <w:t xml:space="preserve"> is often used for the ratio </w:t>
      </w:r>
      <w:r>
        <w:rPr>
          <w:i/>
          <w:iCs/>
        </w:rPr>
        <w:t>n</w:t>
      </w:r>
      <w:r w:rsidRPr="00416BBA">
        <w:rPr>
          <w:vertAlign w:val="subscript"/>
        </w:rPr>
        <w:t>ads</w:t>
      </w:r>
      <w:r>
        <w:t>/</w:t>
      </w:r>
      <w:r>
        <w:rPr>
          <w:i/>
          <w:iCs/>
        </w:rPr>
        <w:t>n</w:t>
      </w:r>
      <w:r w:rsidRPr="00416BBA">
        <w:rPr>
          <w:vertAlign w:val="subscript"/>
        </w:rPr>
        <w:t>m</w:t>
      </w:r>
      <w:r>
        <w:t xml:space="preserve"> and is called the “coverage."</w:t>
      </w:r>
      <w:r w:rsidR="006459A7">
        <w:t xml:space="preserve">  </w:t>
      </w:r>
    </w:p>
    <w:p w14:paraId="3E74DBF0" w14:textId="77777777" w:rsidR="00225AC6" w:rsidRDefault="00225AC6" w:rsidP="00543A53">
      <w:pPr>
        <w:pStyle w:val="NoSpacing"/>
      </w:pPr>
    </w:p>
    <w:p w14:paraId="583C7782" w14:textId="509A2C95" w:rsidR="00DD6E44" w:rsidRDefault="00162354" w:rsidP="00543A53">
      <w:pPr>
        <w:pStyle w:val="NoSpacing"/>
      </w:pPr>
      <w:r>
        <w:t xml:space="preserve">The </w:t>
      </w:r>
      <w:r w:rsidR="006459A7">
        <w:t xml:space="preserve">BET </w:t>
      </w:r>
      <w:r>
        <w:t xml:space="preserve">equation is usually rewritten to yield a linear equation for plotting with the abscissa being the relative pressure, </w:t>
      </w:r>
      <w:r>
        <w:rPr>
          <w:i/>
          <w:iCs/>
        </w:rPr>
        <w:t xml:space="preserve">X </w:t>
      </w:r>
      <w:r>
        <w:t xml:space="preserve">= </w:t>
      </w:r>
      <w:r>
        <w:rPr>
          <w:i/>
          <w:iCs/>
        </w:rPr>
        <w:t>P</w:t>
      </w:r>
      <w:r>
        <w:t>/</w:t>
      </w:r>
      <w:r>
        <w:rPr>
          <w:i/>
          <w:iCs/>
        </w:rPr>
        <w:t>P</w:t>
      </w:r>
      <w:r w:rsidRPr="009C77AE">
        <w:rPr>
          <w:vertAlign w:val="subscript"/>
        </w:rPr>
        <w:t>vap</w:t>
      </w:r>
      <w:r>
        <w:t>, and the ordinate</w:t>
      </w:r>
      <w:r w:rsidR="00445EB3">
        <w:t xml:space="preserve">, </w:t>
      </w:r>
      <w:r w:rsidR="00445EB3">
        <w:rPr>
          <w:i/>
          <w:iCs/>
        </w:rPr>
        <w:t>y</w:t>
      </w:r>
      <w:r w:rsidR="00445EB3">
        <w:t>,</w:t>
      </w:r>
      <w:r>
        <w:t xml:space="preserve"> a mixture of the dependent and independent variables</w:t>
      </w:r>
      <w:r w:rsidR="00445EB3">
        <w:t xml:space="preserve"> </w:t>
      </w:r>
      <w:r w:rsidR="00827804">
        <w:t xml:space="preserve">as </w:t>
      </w:r>
      <w:r w:rsidR="00445EB3">
        <w:t>given in</w:t>
      </w:r>
      <w:r w:rsidR="001E3B93">
        <w:t xml:space="preserve"> </w:t>
      </w:r>
      <w:r w:rsidR="001E3B93">
        <w:fldChar w:fldCharType="begin"/>
      </w:r>
      <w:r w:rsidR="001E3B93">
        <w:instrText xml:space="preserve"> REF _Ref169163654 \h </w:instrText>
      </w:r>
      <w:r w:rsidR="001E3B93">
        <w:fldChar w:fldCharType="separate"/>
      </w:r>
      <w:r w:rsidR="00040CA9" w:rsidRPr="00445EB3">
        <w:rPr>
          <w:i/>
          <w:iCs/>
          <w:szCs w:val="24"/>
        </w:rPr>
        <w:t xml:space="preserve">Equation </w:t>
      </w:r>
      <w:r w:rsidR="00040CA9">
        <w:rPr>
          <w:i/>
          <w:iCs/>
          <w:noProof/>
          <w:szCs w:val="24"/>
        </w:rPr>
        <w:t>2</w:t>
      </w:r>
      <w:r w:rsidR="001E3B93">
        <w:fldChar w:fldCharType="end"/>
      </w:r>
      <w:r w:rsidR="001E3B93">
        <w:t>:</w:t>
      </w:r>
      <w:r w:rsidR="00DD6E44" w:rsidRPr="00DD6E44">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DD6E44" w14:paraId="23AD74E5" w14:textId="77777777" w:rsidTr="00E80D26">
        <w:tc>
          <w:tcPr>
            <w:tcW w:w="9350" w:type="dxa"/>
          </w:tcPr>
          <w:p w14:paraId="6B9C1C94" w14:textId="149E656D" w:rsidR="0066276D" w:rsidRDefault="0066276D" w:rsidP="00E92D8F">
            <w:pPr>
              <w:pStyle w:val="NoSpacing"/>
              <w:jc w:val="center"/>
            </w:pPr>
            <w:r w:rsidRPr="00BE146B">
              <w:rPr>
                <w:position w:val="-42"/>
              </w:rPr>
              <w:object w:dxaOrig="1840" w:dyaOrig="920" w14:anchorId="7D8FBEC2">
                <v:shape id="_x0000_i1026" type="#_x0000_t75" style="width:73.5pt;height:37.5pt" o:ole="">
                  <v:imagedata r:id="rId10" o:title=""/>
                </v:shape>
                <o:OLEObject Type="Embed" ProgID="Equation.DSMT4" ShapeID="_x0000_i1026" DrawAspect="Content" ObjectID="_1782235229" r:id="rId11"/>
              </w:object>
            </w:r>
          </w:p>
          <w:p w14:paraId="76C94D75" w14:textId="3E49C19A" w:rsidR="00DD6E44" w:rsidRPr="00445EB3" w:rsidRDefault="0066276D" w:rsidP="00E92D8F">
            <w:pPr>
              <w:pStyle w:val="NoSpacing"/>
              <w:jc w:val="center"/>
              <w:rPr>
                <w:i/>
                <w:iCs/>
                <w:szCs w:val="24"/>
              </w:rPr>
            </w:pPr>
            <w:bookmarkStart w:id="12" w:name="_Ref169163654"/>
            <w:r w:rsidRPr="00445EB3">
              <w:rPr>
                <w:i/>
                <w:iCs/>
                <w:szCs w:val="24"/>
              </w:rPr>
              <w:t xml:space="preserve">Equation </w:t>
            </w:r>
            <w:r w:rsidRPr="00445EB3">
              <w:rPr>
                <w:i/>
                <w:iCs/>
                <w:szCs w:val="24"/>
              </w:rPr>
              <w:fldChar w:fldCharType="begin"/>
            </w:r>
            <w:r w:rsidRPr="00445EB3">
              <w:rPr>
                <w:i/>
                <w:iCs/>
                <w:szCs w:val="24"/>
              </w:rPr>
              <w:instrText xml:space="preserve"> SEQ Equation \* ARABIC </w:instrText>
            </w:r>
            <w:r w:rsidRPr="00445EB3">
              <w:rPr>
                <w:i/>
                <w:iCs/>
                <w:szCs w:val="24"/>
              </w:rPr>
              <w:fldChar w:fldCharType="separate"/>
            </w:r>
            <w:r w:rsidR="00040CA9">
              <w:rPr>
                <w:i/>
                <w:iCs/>
                <w:noProof/>
                <w:szCs w:val="24"/>
              </w:rPr>
              <w:t>2</w:t>
            </w:r>
            <w:r w:rsidRPr="00445EB3">
              <w:rPr>
                <w:i/>
                <w:iCs/>
                <w:szCs w:val="24"/>
              </w:rPr>
              <w:fldChar w:fldCharType="end"/>
            </w:r>
            <w:bookmarkEnd w:id="12"/>
            <w:r w:rsidRPr="00445EB3">
              <w:rPr>
                <w:i/>
                <w:iCs/>
              </w:rPr>
              <w:t xml:space="preserve"> </w:t>
            </w:r>
            <w:r w:rsidR="003F7331" w:rsidRPr="00445EB3">
              <w:rPr>
                <w:i/>
                <w:iCs/>
                <w:szCs w:val="24"/>
              </w:rPr>
              <w:t>The transform of the ordinate for the BET-plot</w:t>
            </w:r>
          </w:p>
        </w:tc>
      </w:tr>
    </w:tbl>
    <w:p w14:paraId="133CF9E7" w14:textId="2A853E22" w:rsidR="00C60A2C" w:rsidRDefault="00162354" w:rsidP="00543A53">
      <w:pPr>
        <w:pStyle w:val="NoSpacing"/>
      </w:pPr>
      <w:r w:rsidRPr="00A629F3">
        <w:t xml:space="preserve">This </w:t>
      </w:r>
      <w:r w:rsidR="00DD6E44" w:rsidRPr="00A629F3">
        <w:t xml:space="preserve">graphing method </w:t>
      </w:r>
      <w:r w:rsidRPr="00A629F3">
        <w:t>is widely used</w:t>
      </w:r>
      <w:r w:rsidR="00DD6E44" w:rsidRPr="00A629F3">
        <w:t xml:space="preserve"> way to arrive at the output parameters </w:t>
      </w:r>
      <w:r w:rsidR="00DD6E44" w:rsidRPr="00A629F3">
        <w:rPr>
          <w:i/>
          <w:iCs/>
        </w:rPr>
        <w:t>n</w:t>
      </w:r>
      <w:r w:rsidR="00DD6E44" w:rsidRPr="00A629F3">
        <w:rPr>
          <w:vertAlign w:val="subscript"/>
        </w:rPr>
        <w:t>ads</w:t>
      </w:r>
      <w:r w:rsidR="00DD6E44" w:rsidRPr="00A629F3">
        <w:t xml:space="preserve"> and </w:t>
      </w:r>
      <w:r w:rsidR="00DD6E44" w:rsidRPr="00A629F3">
        <w:rPr>
          <w:i/>
          <w:iCs/>
        </w:rPr>
        <w:t>C</w:t>
      </w:r>
      <w:r w:rsidRPr="00A629F3">
        <w:t>.  This mixing of the dependent and independent variables creates mathematical problems for the analyses</w:t>
      </w:r>
      <w:r w:rsidR="00292D9C">
        <w:t xml:space="preserve"> </w:t>
      </w:r>
      <w:r w:rsidR="000337E5">
        <w:t>(</w:t>
      </w:r>
      <w:r w:rsidR="00292D9C">
        <w:t xml:space="preserve">and leads to </w:t>
      </w:r>
      <w:r w:rsidR="00ED7F54">
        <w:t>anomalies</w:t>
      </w:r>
      <w:r w:rsidRPr="00A629F3">
        <w:t>.</w:t>
      </w:r>
      <w:r w:rsidR="000337E5">
        <w:t>)</w:t>
      </w:r>
      <w:r w:rsidRPr="00A629F3">
        <w:t xml:space="preserve">  </w:t>
      </w:r>
      <w:r w:rsidR="00C60A2C">
        <w:t xml:space="preserve">The normal method of determining the standard deviation of the curve fit is to use the statistics provided from the linear regression of the transform over the BET range.  This is </w:t>
      </w:r>
      <w:r w:rsidR="00060BB3">
        <w:t>incorrect</w:t>
      </w:r>
      <w:r w:rsidR="00C60A2C">
        <w:t>, since the statistics should be extracted from the resultant untransformed fit.</w:t>
      </w:r>
    </w:p>
    <w:p w14:paraId="69C722AD" w14:textId="77777777" w:rsidR="00C60A2C" w:rsidRDefault="00C60A2C" w:rsidP="00543A53">
      <w:pPr>
        <w:pStyle w:val="NoSpacing"/>
      </w:pPr>
    </w:p>
    <w:p w14:paraId="2BDB2A5F" w14:textId="254BD8C1" w:rsidR="00162354" w:rsidRDefault="00162354" w:rsidP="00543A53">
      <w:pPr>
        <w:pStyle w:val="NoSpacing"/>
      </w:pPr>
      <w:r w:rsidRPr="00A629F3">
        <w:t xml:space="preserve">Some recent publications get around the uncertainties </w:t>
      </w:r>
      <w:r w:rsidR="006459A7">
        <w:t xml:space="preserve">of this </w:t>
      </w:r>
      <w:proofErr w:type="gramStart"/>
      <w:r w:rsidR="006459A7">
        <w:t>transform</w:t>
      </w:r>
      <w:proofErr w:type="gramEnd"/>
      <w:r w:rsidR="006459A7">
        <w:t xml:space="preserve"> </w:t>
      </w:r>
      <w:r w:rsidRPr="00A629F3">
        <w:t xml:space="preserve">with the use of non-linear least squares methods </w:t>
      </w:r>
      <w:r w:rsidR="0028422F">
        <w:t>(</w:t>
      </w:r>
      <w:r>
        <w:t xml:space="preserve">NLLS.)  This is especially </w:t>
      </w:r>
      <w:r w:rsidR="0028422F">
        <w:t>useful f</w:t>
      </w:r>
      <w:r>
        <w:t>or using summations of BET or Langmuir isotherms</w:t>
      </w:r>
      <w:r w:rsidRPr="00673213">
        <w:rPr>
          <w:rStyle w:val="EndnoteReference"/>
        </w:rPr>
        <w:endnoteReference w:id="25"/>
      </w:r>
      <w:r w:rsidRPr="00673213">
        <w:rPr>
          <w:vertAlign w:val="superscript"/>
        </w:rPr>
        <w:t>,</w:t>
      </w:r>
      <w:r w:rsidRPr="00673213">
        <w:rPr>
          <w:rStyle w:val="EndnoteReference"/>
        </w:rPr>
        <w:endnoteReference w:id="26"/>
      </w:r>
      <w:r w:rsidRPr="00673213">
        <w:t>.</w:t>
      </w:r>
      <w:r>
        <w:t xml:space="preserve"> Both the transform method and the NLLS method are addressed in this publication.</w:t>
      </w:r>
    </w:p>
    <w:p w14:paraId="60456B38" w14:textId="77777777" w:rsidR="00EF14C6" w:rsidRDefault="00EF14C6" w:rsidP="00543A53">
      <w:pPr>
        <w:pStyle w:val="NoSpacing"/>
      </w:pPr>
    </w:p>
    <w:p w14:paraId="11F54493" w14:textId="3C3AA194" w:rsidR="00162354" w:rsidRDefault="00EF14C6" w:rsidP="00EF14C6">
      <w:pPr>
        <w:pStyle w:val="NoSpacing"/>
        <w:outlineLvl w:val="1"/>
        <w:rPr>
          <w:i/>
          <w:iCs/>
        </w:rPr>
      </w:pPr>
      <w:bookmarkStart w:id="13" w:name="_Toc171582127"/>
      <w:r>
        <w:rPr>
          <w:i/>
          <w:iCs/>
        </w:rPr>
        <w:t xml:space="preserve">A) </w:t>
      </w:r>
      <w:r w:rsidR="003C6A7F">
        <w:rPr>
          <w:i/>
          <w:iCs/>
        </w:rPr>
        <w:t>“</w:t>
      </w:r>
      <w:r>
        <w:rPr>
          <w:i/>
          <w:iCs/>
        </w:rPr>
        <w:t>Henry’s law</w:t>
      </w:r>
      <w:r w:rsidR="003C6A7F">
        <w:rPr>
          <w:i/>
          <w:iCs/>
        </w:rPr>
        <w:t>”</w:t>
      </w:r>
      <w:r>
        <w:rPr>
          <w:i/>
          <w:iCs/>
        </w:rPr>
        <w:t xml:space="preserve"> applied to physisorption?</w:t>
      </w:r>
      <w:bookmarkEnd w:id="13"/>
    </w:p>
    <w:p w14:paraId="46AA2CC9" w14:textId="77777777" w:rsidR="00EF14C6" w:rsidRPr="00EF14C6" w:rsidRDefault="00EF14C6" w:rsidP="00543A53">
      <w:pPr>
        <w:pStyle w:val="NoSpacing"/>
        <w:rPr>
          <w:i/>
          <w:iCs/>
        </w:rPr>
      </w:pPr>
    </w:p>
    <w:p w14:paraId="09546883" w14:textId="3F655BFD" w:rsidR="00162354" w:rsidRPr="00365E3C" w:rsidRDefault="001E3B93" w:rsidP="00543A53">
      <w:pPr>
        <w:pStyle w:val="NoSpacing"/>
      </w:pPr>
      <w:r w:rsidRPr="001E3B93">
        <w:rPr>
          <w:i/>
          <w:iCs/>
        </w:rPr>
        <w:fldChar w:fldCharType="begin"/>
      </w:r>
      <w:r w:rsidRPr="001E3B93">
        <w:rPr>
          <w:i/>
          <w:iCs/>
        </w:rPr>
        <w:instrText xml:space="preserve"> REF _Ref169262282 \h  \* MERGEFORMAT </w:instrText>
      </w:r>
      <w:r w:rsidRPr="001E3B93">
        <w:rPr>
          <w:i/>
          <w:iCs/>
        </w:rPr>
      </w:r>
      <w:r w:rsidRPr="001E3B93">
        <w:rPr>
          <w:i/>
          <w:iCs/>
        </w:rPr>
        <w:fldChar w:fldCharType="separate"/>
      </w:r>
      <w:r w:rsidR="00040CA9" w:rsidRPr="00040CA9">
        <w:rPr>
          <w:i/>
          <w:iCs/>
          <w:szCs w:val="24"/>
        </w:rPr>
        <w:t xml:space="preserve">Equation </w:t>
      </w:r>
      <w:r w:rsidR="00040CA9" w:rsidRPr="00040CA9">
        <w:rPr>
          <w:i/>
          <w:iCs/>
          <w:noProof/>
          <w:szCs w:val="24"/>
        </w:rPr>
        <w:t>3</w:t>
      </w:r>
      <w:r w:rsidRPr="001E3B93">
        <w:rPr>
          <w:i/>
          <w:iCs/>
        </w:rPr>
        <w:fldChar w:fldCharType="end"/>
      </w:r>
      <w:r w:rsidR="00162354">
        <w:rPr>
          <w:i/>
          <w:iCs/>
        </w:rPr>
        <w:t xml:space="preserve"> </w:t>
      </w:r>
      <w:r w:rsidRPr="001E3B93">
        <w:t>i</w:t>
      </w:r>
      <w:r w:rsidR="00162354">
        <w:t xml:space="preserve">s implied by </w:t>
      </w:r>
      <w:r>
        <w:rPr>
          <w:rFonts w:cs="Times New Roman"/>
        </w:rPr>
        <w:fldChar w:fldCharType="begin"/>
      </w:r>
      <w:r>
        <w:rPr>
          <w:rFonts w:cs="Times New Roman"/>
        </w:rPr>
        <w:instrText xml:space="preserve"> REF _Ref169163628 \h </w:instrText>
      </w:r>
      <w:r>
        <w:rPr>
          <w:rFonts w:cs="Times New Roman"/>
        </w:rPr>
      </w:r>
      <w:r>
        <w:rPr>
          <w:rFonts w:cs="Times New Roman"/>
        </w:rPr>
        <w:fldChar w:fldCharType="separate"/>
      </w:r>
      <w:r w:rsidR="00040CA9" w:rsidRPr="00445EB3">
        <w:rPr>
          <w:i/>
          <w:iCs/>
        </w:rPr>
        <w:t xml:space="preserve">Equation </w:t>
      </w:r>
      <w:r w:rsidR="00040CA9">
        <w:rPr>
          <w:i/>
          <w:iCs/>
          <w:noProof/>
        </w:rPr>
        <w:t>1</w:t>
      </w:r>
      <w:r>
        <w:rPr>
          <w:rFonts w:cs="Times New Roman"/>
        </w:rPr>
        <w:fldChar w:fldCharType="end"/>
      </w:r>
      <w:r w:rsidR="00162354">
        <w:t xml:space="preserve"> and is referred to as Henry’s Law in analogy (not derived from) the law for solutions at low concentration. In solutions, Henry’s Law is thermodynamically linked with Raoult’s Law</w:t>
      </w:r>
      <w:r w:rsidR="000337E5">
        <w:t>,</w:t>
      </w:r>
      <w:r w:rsidR="00162354">
        <w:t xml:space="preserve"> </w:t>
      </w:r>
      <w:r w:rsidR="000337E5">
        <w:t>and</w:t>
      </w:r>
      <w:r w:rsidR="00162354">
        <w:t xml:space="preserve"> </w:t>
      </w:r>
      <w:r w:rsidR="0028422F">
        <w:t xml:space="preserve">Raoult’s Law </w:t>
      </w:r>
      <w:r w:rsidR="00162354">
        <w:t>is impossible for physisorption</w:t>
      </w:r>
      <w:r w:rsidR="00162354">
        <w:rPr>
          <w:rStyle w:val="FootnoteReference"/>
        </w:rPr>
        <w:footnoteReference w:id="7"/>
      </w:r>
      <w:r w:rsidR="00162354">
        <w:t>.</w:t>
      </w:r>
      <w:r w:rsidR="00365E3C">
        <w:t xml:space="preserve">  The Henry’s law requirement is delt with in </w:t>
      </w:r>
      <w:r w:rsidR="00365E3C">
        <w:rPr>
          <w:b/>
          <w:bCs/>
        </w:rPr>
        <w:t>Part III</w:t>
      </w:r>
      <w:r w:rsidR="00365E3C">
        <w:t xml:space="preserve"> as the fatal error that the BET produces.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846CA4" w14:paraId="75EDABB8" w14:textId="77777777" w:rsidTr="00DD6E44">
        <w:tc>
          <w:tcPr>
            <w:tcW w:w="9350" w:type="dxa"/>
          </w:tcPr>
          <w:p w14:paraId="3D177F3A" w14:textId="5869CFAC" w:rsidR="009255F5" w:rsidRDefault="009255F5" w:rsidP="009255F5">
            <w:pPr>
              <w:pStyle w:val="NoSpacing"/>
              <w:keepNext/>
              <w:jc w:val="center"/>
            </w:pPr>
            <w:r w:rsidRPr="00D83F0C">
              <w:rPr>
                <w:position w:val="-60"/>
              </w:rPr>
              <w:object w:dxaOrig="7580" w:dyaOrig="1120" w14:anchorId="0CA8CC14">
                <v:shape id="_x0000_i1027" type="#_x0000_t75" style="width:279.75pt;height:42pt" o:ole="">
                  <v:imagedata r:id="rId12" o:title=""/>
                </v:shape>
                <o:OLEObject Type="Embed" ProgID="Equation.DSMT4" ShapeID="_x0000_i1027" DrawAspect="Content" ObjectID="_1782235230" r:id="rId13"/>
              </w:object>
            </w:r>
          </w:p>
          <w:p w14:paraId="6817D906" w14:textId="2ADF213D" w:rsidR="00846CA4" w:rsidRPr="00445EB3" w:rsidRDefault="009255F5" w:rsidP="009255F5">
            <w:pPr>
              <w:pStyle w:val="Caption"/>
              <w:jc w:val="center"/>
              <w:rPr>
                <w:sz w:val="24"/>
                <w:szCs w:val="24"/>
              </w:rPr>
            </w:pPr>
            <w:bookmarkStart w:id="14" w:name="_Ref169262282"/>
            <w:r w:rsidRPr="00445EB3">
              <w:rPr>
                <w:color w:val="auto"/>
                <w:sz w:val="24"/>
                <w:szCs w:val="24"/>
              </w:rPr>
              <w:t xml:space="preserve">Equation </w:t>
            </w:r>
            <w:r w:rsidRPr="00445EB3">
              <w:rPr>
                <w:color w:val="auto"/>
                <w:sz w:val="24"/>
                <w:szCs w:val="24"/>
              </w:rPr>
              <w:fldChar w:fldCharType="begin"/>
            </w:r>
            <w:r w:rsidRPr="00445EB3">
              <w:rPr>
                <w:color w:val="auto"/>
                <w:sz w:val="24"/>
                <w:szCs w:val="24"/>
              </w:rPr>
              <w:instrText xml:space="preserve"> SEQ Equation \* ARABIC </w:instrText>
            </w:r>
            <w:r w:rsidRPr="00445EB3">
              <w:rPr>
                <w:color w:val="auto"/>
                <w:sz w:val="24"/>
                <w:szCs w:val="24"/>
              </w:rPr>
              <w:fldChar w:fldCharType="separate"/>
            </w:r>
            <w:r w:rsidR="00040CA9">
              <w:rPr>
                <w:noProof/>
                <w:color w:val="auto"/>
                <w:sz w:val="24"/>
                <w:szCs w:val="24"/>
              </w:rPr>
              <w:t>3</w:t>
            </w:r>
            <w:r w:rsidRPr="00445EB3">
              <w:rPr>
                <w:color w:val="auto"/>
                <w:sz w:val="24"/>
                <w:szCs w:val="24"/>
              </w:rPr>
              <w:fldChar w:fldCharType="end"/>
            </w:r>
            <w:bookmarkEnd w:id="14"/>
            <w:r w:rsidR="00E92D8F" w:rsidRPr="00445EB3">
              <w:rPr>
                <w:color w:val="auto"/>
                <w:sz w:val="24"/>
                <w:szCs w:val="24"/>
              </w:rPr>
              <w:t xml:space="preserve"> </w:t>
            </w:r>
            <w:r w:rsidR="003F7331" w:rsidRPr="00445EB3">
              <w:rPr>
                <w:color w:val="auto"/>
                <w:sz w:val="24"/>
                <w:szCs w:val="24"/>
              </w:rPr>
              <w:t>The statement of Henry's Law</w:t>
            </w:r>
          </w:p>
        </w:tc>
      </w:tr>
    </w:tbl>
    <w:p w14:paraId="18289B38" w14:textId="77777777" w:rsidR="00445EB3" w:rsidRDefault="00445EB3" w:rsidP="00543A53">
      <w:pPr>
        <w:pStyle w:val="NoSpacing"/>
      </w:pPr>
    </w:p>
    <w:p w14:paraId="217593BF" w14:textId="358D7EC9" w:rsidR="00856554" w:rsidRDefault="00856554" w:rsidP="00543A53">
      <w:pPr>
        <w:pStyle w:val="NoSpacing"/>
      </w:pPr>
      <w:r>
        <w:t xml:space="preserve">The other problem with the BET that was obvious very early </w:t>
      </w:r>
      <w:r w:rsidR="00474546">
        <w:t>is</w:t>
      </w:r>
      <w:r w:rsidR="00503468">
        <w:t xml:space="preserve"> the fit was very bad</w:t>
      </w:r>
      <w:r w:rsidR="00162354">
        <w:t>,</w:t>
      </w:r>
      <w:r>
        <w:t xml:space="preserve"> </w:t>
      </w:r>
      <w:r w:rsidR="00503468">
        <w:t xml:space="preserve">even </w:t>
      </w:r>
      <w:r>
        <w:t xml:space="preserve">though the shape of the predicted isotherm </w:t>
      </w:r>
      <w:r w:rsidR="00017F8E">
        <w:t xml:space="preserve">had the same features as the </w:t>
      </w:r>
      <w:r>
        <w:t>experimental isotherms</w:t>
      </w:r>
      <w:r w:rsidR="00503468">
        <w:t xml:space="preserve">.  The fit is </w:t>
      </w:r>
      <w:r>
        <w:t xml:space="preserve">especially </w:t>
      </w:r>
      <w:r w:rsidR="00503468">
        <w:t xml:space="preserve">bad </w:t>
      </w:r>
      <w:r>
        <w:t xml:space="preserve">at pressure above </w:t>
      </w:r>
      <w:r>
        <w:rPr>
          <w:i/>
          <w:iCs/>
        </w:rPr>
        <w:t xml:space="preserve">X = </w:t>
      </w:r>
      <w:r>
        <w:t>0.378</w:t>
      </w:r>
      <w:r w:rsidR="00162354">
        <w:t xml:space="preserve">. </w:t>
      </w:r>
    </w:p>
    <w:p w14:paraId="251DC307" w14:textId="77777777" w:rsidR="00445EB3" w:rsidRDefault="00445EB3" w:rsidP="00543A53">
      <w:pPr>
        <w:pStyle w:val="NoSpacing"/>
      </w:pPr>
    </w:p>
    <w:p w14:paraId="60054D79" w14:textId="3488978F" w:rsidR="00F14D4E" w:rsidRDefault="00856554" w:rsidP="00543A53">
      <w:pPr>
        <w:pStyle w:val="NoSpacing"/>
      </w:pPr>
      <w:r>
        <w:t xml:space="preserve">To solve this problem, only points below </w:t>
      </w:r>
      <w:r>
        <w:rPr>
          <w:i/>
          <w:iCs/>
        </w:rPr>
        <w:t>X</w:t>
      </w:r>
      <w:r>
        <w:t xml:space="preserve"> </w:t>
      </w:r>
      <w:r w:rsidR="0028422F">
        <w:t>=</w:t>
      </w:r>
      <w:r>
        <w:t xml:space="preserve"> 0.35 were allowed in the calculation.  </w:t>
      </w:r>
      <w:r w:rsidR="0028422F">
        <w:t xml:space="preserve">The </w:t>
      </w:r>
      <w:r w:rsidR="00564AB5">
        <w:t>u</w:t>
      </w:r>
      <w:r w:rsidR="00F14D4E">
        <w:t>nusual ordinate transform contains both the dependent and independent variables</w:t>
      </w:r>
      <w:r w:rsidR="000D5FB5">
        <w:t xml:space="preserve"> and as the data</w:t>
      </w:r>
      <w:r w:rsidR="00F14D4E">
        <w:t xml:space="preserve"> approaches </w:t>
      </w:r>
      <w:r w:rsidR="00F14D4E">
        <w:rPr>
          <w:i/>
          <w:iCs/>
        </w:rPr>
        <w:t>X</w:t>
      </w:r>
      <w:r w:rsidR="00F14D4E">
        <w:t xml:space="preserve"> = 0, it tends to “blow-up.”  </w:t>
      </w:r>
      <w:r w:rsidR="00503468">
        <w:t>Apparently, t</w:t>
      </w:r>
      <w:r w:rsidR="00162354">
        <w:t>he reason</w:t>
      </w:r>
      <w:r w:rsidR="000D5FB5">
        <w:t xml:space="preserve"> for this</w:t>
      </w:r>
      <w:r w:rsidR="00162354">
        <w:t xml:space="preserve"> at the time was not known</w:t>
      </w:r>
      <w:r w:rsidR="000D5FB5">
        <w:t>,</w:t>
      </w:r>
      <w:r w:rsidR="00162354">
        <w:t xml:space="preserve"> </w:t>
      </w:r>
      <w:r w:rsidR="000D5FB5">
        <w:t>s</w:t>
      </w:r>
      <w:r w:rsidR="00F14D4E">
        <w:t xml:space="preserve">o, a lower limit of use was picked to be </w:t>
      </w:r>
      <w:r w:rsidR="00F14D4E">
        <w:rPr>
          <w:i/>
          <w:iCs/>
        </w:rPr>
        <w:t>X</w:t>
      </w:r>
      <w:r w:rsidR="00F14D4E">
        <w:t xml:space="preserve"> = 0.01</w:t>
      </w:r>
      <w:r w:rsidR="00564AB5">
        <w:t xml:space="preserve"> </w:t>
      </w:r>
      <w:r w:rsidR="009255F5">
        <w:t xml:space="preserve">(sometimes </w:t>
      </w:r>
      <w:r w:rsidR="009255F5">
        <w:rPr>
          <w:i/>
          <w:iCs/>
        </w:rPr>
        <w:t>X</w:t>
      </w:r>
      <w:r w:rsidR="009255F5">
        <w:t xml:space="preserve"> = 0.05) </w:t>
      </w:r>
      <w:r w:rsidR="00564AB5">
        <w:t>with advice to extrapolate from the last point to [0,0]</w:t>
      </w:r>
      <w:r w:rsidR="00F14D4E">
        <w:t>.</w:t>
      </w:r>
      <w:r w:rsidR="00474546">
        <w:t xml:space="preserve"> In other words, the </w:t>
      </w:r>
      <w:r w:rsidR="003C6A7F">
        <w:t>“</w:t>
      </w:r>
      <w:r w:rsidR="00474546">
        <w:t>Henry’s law</w:t>
      </w:r>
      <w:r w:rsidR="003C6A7F">
        <w:t>”</w:t>
      </w:r>
      <w:r w:rsidR="00474546">
        <w:t xml:space="preserve"> region is ignored</w:t>
      </w:r>
      <w:r w:rsidR="006B435E">
        <w:t>, but assumed</w:t>
      </w:r>
      <w:r w:rsidR="00474546">
        <w:t>.</w:t>
      </w:r>
    </w:p>
    <w:p w14:paraId="467A177D" w14:textId="77777777" w:rsidR="00F14D4E" w:rsidRDefault="00F14D4E" w:rsidP="00543A53">
      <w:pPr>
        <w:pStyle w:val="NoSpacing"/>
      </w:pPr>
    </w:p>
    <w:p w14:paraId="54E3EBE7" w14:textId="772B14B3" w:rsidR="00F14D4E" w:rsidRDefault="00F14D4E" w:rsidP="00543A53">
      <w:pPr>
        <w:pStyle w:val="NoSpacing"/>
      </w:pPr>
      <w:r>
        <w:t>There were obvious problems with the BET</w:t>
      </w:r>
      <w:r w:rsidR="00503468">
        <w:t>,</w:t>
      </w:r>
      <w:r>
        <w:t xml:space="preserve"> especially with the </w:t>
      </w:r>
      <w:r w:rsidR="00162354">
        <w:t xml:space="preserve">introduction </w:t>
      </w:r>
      <w:r w:rsidR="00DF59FB">
        <w:t>o</w:t>
      </w:r>
      <w:r>
        <w:t>f porosity in</w:t>
      </w:r>
      <w:r w:rsidR="00DF59FB">
        <w:t>to</w:t>
      </w:r>
      <w:r>
        <w:t xml:space="preserve"> the BET-plot. Standard isotherm plots were then developed based upon adsorbent that were thought to match the material of interest but were non</w:t>
      </w:r>
      <w:r w:rsidR="005D1B24">
        <w:t>-</w:t>
      </w:r>
      <w:r>
        <w:t>porous</w:t>
      </w:r>
      <w:r w:rsidR="005D1B24">
        <w:t xml:space="preserve">.  The assumption being that isotherm </w:t>
      </w:r>
      <w:r w:rsidR="005D1B24">
        <w:lastRenderedPageBreak/>
        <w:t>should</w:t>
      </w:r>
      <w:r w:rsidR="000D5FB5">
        <w:t xml:space="preserve"> be the same for the surface of the porous materials</w:t>
      </w:r>
      <w:r w:rsidR="005D1B24">
        <w:t xml:space="preserve">.  This turns out to be a big leap of faith, because the creation of the non-porous material is unlikely to be identical </w:t>
      </w:r>
      <w:r w:rsidR="00DF59FB">
        <w:t>to</w:t>
      </w:r>
      <w:r w:rsidR="005D1B24">
        <w:t xml:space="preserve"> the fully dense material </w:t>
      </w:r>
      <w:r w:rsidR="009255F5">
        <w:t>with</w:t>
      </w:r>
      <w:r w:rsidR="005D1B24">
        <w:t xml:space="preserve"> respect</w:t>
      </w:r>
      <w:r w:rsidR="009255F5">
        <w:t xml:space="preserve"> to their</w:t>
      </w:r>
      <w:r w:rsidR="005D1B24">
        <w:t xml:space="preserve"> surfaces, otherwise their </w:t>
      </w:r>
      <w:r w:rsidR="00040CA9">
        <w:t>geometry</w:t>
      </w:r>
      <w:r w:rsidR="005D1B24">
        <w:t xml:space="preserve"> could not be different.</w:t>
      </w:r>
    </w:p>
    <w:p w14:paraId="46DDE06C" w14:textId="77777777" w:rsidR="005D1B24" w:rsidRDefault="005D1B24" w:rsidP="00543A53">
      <w:pPr>
        <w:pStyle w:val="NoSpacing"/>
      </w:pPr>
    </w:p>
    <w:p w14:paraId="57C8C117" w14:textId="6BA037AA" w:rsidR="0023067A" w:rsidRDefault="005D1B24" w:rsidP="00543A53">
      <w:pPr>
        <w:pStyle w:val="NoSpacing"/>
        <w:rPr>
          <w:iCs/>
        </w:rPr>
      </w:pPr>
      <w:r>
        <w:t xml:space="preserve">It was </w:t>
      </w:r>
      <w:r w:rsidR="00474546">
        <w:t xml:space="preserve">also </w:t>
      </w:r>
      <w:r>
        <w:t xml:space="preserve">discovered that the </w:t>
      </w:r>
      <w:r w:rsidR="00CB5673">
        <w:t xml:space="preserve">original </w:t>
      </w:r>
      <w:r>
        <w:t xml:space="preserve">upper limit of the </w:t>
      </w:r>
      <w:r w:rsidR="00503468">
        <w:t>plot</w:t>
      </w:r>
      <w:r>
        <w:t xml:space="preserve"> was also not reliable.  A new criterion was recently created, the “Rouquerol criterion</w:t>
      </w:r>
      <w:bookmarkStart w:id="15" w:name="_Ref171178687"/>
      <w:r w:rsidR="00BF4530" w:rsidRPr="006D5644">
        <w:rPr>
          <w:rStyle w:val="EndnoteReference"/>
        </w:rPr>
        <w:endnoteReference w:id="27"/>
      </w:r>
      <w:bookmarkEnd w:id="15"/>
      <w:r w:rsidR="00503468">
        <w:t>.</w:t>
      </w:r>
      <w:r>
        <w:t>”</w:t>
      </w:r>
      <w:r w:rsidR="00503468">
        <w:t xml:space="preserve">  This</w:t>
      </w:r>
      <w:r>
        <w:t xml:space="preserve"> states that only point</w:t>
      </w:r>
      <w:r w:rsidR="00BF4530">
        <w:t>s</w:t>
      </w:r>
      <w:r>
        <w:t xml:space="preserve"> </w:t>
      </w:r>
      <w:r w:rsidR="00365E3C">
        <w:t>less than</w:t>
      </w:r>
      <w:r>
        <w:t xml:space="preserve"> the </w:t>
      </w:r>
      <w:r w:rsidR="00037305">
        <w:t xml:space="preserve">first </w:t>
      </w:r>
      <w:r>
        <w:t xml:space="preserve">maximum of the </w:t>
      </w:r>
      <w:r w:rsidR="0023067A">
        <w:t>function</w:t>
      </w:r>
      <w:r>
        <w:t xml:space="preserve">, </w:t>
      </w:r>
      <w:r w:rsidRPr="0023067A">
        <w:rPr>
          <w:b/>
          <w:bCs/>
          <w:i/>
          <w:iCs/>
        </w:rPr>
        <w:t>z</w:t>
      </w:r>
      <w:r>
        <w:rPr>
          <w:iCs/>
        </w:rPr>
        <w:t xml:space="preserve">, </w:t>
      </w:r>
      <w:r w:rsidR="00DF59FB">
        <w:rPr>
          <w:iCs/>
        </w:rPr>
        <w:t>calculated</w:t>
      </w:r>
      <w:r w:rsidR="0023067A">
        <w:rPr>
          <w:iCs/>
        </w:rPr>
        <w:t xml:space="preserve"> </w:t>
      </w:r>
      <w:r w:rsidR="00365E3C">
        <w:rPr>
          <w:iCs/>
        </w:rPr>
        <w:t>data-pointwise by</w:t>
      </w:r>
      <w:r w:rsidR="00445EB3">
        <w:rPr>
          <w:iCs/>
        </w:rPr>
        <w:t xml:space="preserve"> </w:t>
      </w:r>
      <w:r w:rsidR="00445EB3" w:rsidRPr="0029460E">
        <w:rPr>
          <w:i/>
        </w:rPr>
        <w:fldChar w:fldCharType="begin"/>
      </w:r>
      <w:r w:rsidR="00445EB3" w:rsidRPr="0029460E">
        <w:rPr>
          <w:i/>
        </w:rPr>
        <w:instrText xml:space="preserve"> REF _Ref169163487 \h </w:instrText>
      </w:r>
      <w:r w:rsidR="0029460E">
        <w:rPr>
          <w:i/>
        </w:rPr>
        <w:instrText xml:space="preserve"> \* MERGEFORMAT </w:instrText>
      </w:r>
      <w:r w:rsidR="00445EB3" w:rsidRPr="0029460E">
        <w:rPr>
          <w:i/>
        </w:rPr>
      </w:r>
      <w:r w:rsidR="00445EB3" w:rsidRPr="0029460E">
        <w:rPr>
          <w:i/>
        </w:rPr>
        <w:fldChar w:fldCharType="separate"/>
      </w:r>
      <w:r w:rsidR="00040CA9" w:rsidRPr="0029460E">
        <w:rPr>
          <w:i/>
          <w:szCs w:val="24"/>
        </w:rPr>
        <w:t xml:space="preserve">Equation </w:t>
      </w:r>
      <w:r w:rsidR="00040CA9" w:rsidRPr="0029460E">
        <w:rPr>
          <w:i/>
          <w:noProof/>
          <w:szCs w:val="24"/>
        </w:rPr>
        <w:t>4</w:t>
      </w:r>
      <w:r w:rsidR="00445EB3" w:rsidRPr="0029460E">
        <w:rPr>
          <w:i/>
        </w:rPr>
        <w:fldChar w:fldCharType="end"/>
      </w:r>
      <w:r w:rsidR="00445EB3">
        <w:rPr>
          <w:iCs/>
        </w:rPr>
        <w:t xml:space="preserve"> </w:t>
      </w:r>
      <w:r w:rsidR="00365E3C">
        <w:rPr>
          <w:iCs/>
        </w:rPr>
        <w:t>are used</w:t>
      </w:r>
      <w:r w:rsidR="00445EB3">
        <w:rPr>
          <w:iCs/>
        </w:rPr>
        <w:t>.</w:t>
      </w:r>
    </w:p>
    <w:p w14:paraId="11283A3E" w14:textId="77777777" w:rsidR="00445EB3" w:rsidRDefault="00445EB3" w:rsidP="00543A53">
      <w:pPr>
        <w:pStyle w:val="NoSpacing"/>
        <w:rPr>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BF4530" w14:paraId="17D5F58A" w14:textId="77777777" w:rsidTr="003F7331">
        <w:tc>
          <w:tcPr>
            <w:tcW w:w="9350" w:type="dxa"/>
            <w:tcBorders>
              <w:top w:val="single" w:sz="4" w:space="0" w:color="auto"/>
              <w:left w:val="single" w:sz="4" w:space="0" w:color="auto"/>
              <w:bottom w:val="single" w:sz="4" w:space="0" w:color="auto"/>
              <w:right w:val="single" w:sz="4" w:space="0" w:color="auto"/>
            </w:tcBorders>
          </w:tcPr>
          <w:p w14:paraId="595C9533" w14:textId="77777777" w:rsidR="00024BF6" w:rsidRDefault="00024BF6" w:rsidP="00024BF6">
            <w:pPr>
              <w:pStyle w:val="NoSpacing"/>
              <w:keepNext/>
              <w:jc w:val="center"/>
            </w:pPr>
            <w:r w:rsidRPr="00D83F0C">
              <w:rPr>
                <w:position w:val="-18"/>
              </w:rPr>
              <w:object w:dxaOrig="2640" w:dyaOrig="520" w14:anchorId="0BD00965">
                <v:shape id="_x0000_i1028" type="#_x0000_t75" style="width:132pt;height:25.9pt" o:ole="">
                  <v:imagedata r:id="rId14" o:title=""/>
                </v:shape>
                <o:OLEObject Type="Embed" ProgID="Equation.DSMT4" ShapeID="_x0000_i1028" DrawAspect="Content" ObjectID="_1782235231" r:id="rId15"/>
              </w:object>
            </w:r>
          </w:p>
          <w:p w14:paraId="7D2537AD" w14:textId="33DA7F9D" w:rsidR="00BF4530" w:rsidRPr="00445EB3" w:rsidRDefault="00024BF6" w:rsidP="00024BF6">
            <w:pPr>
              <w:pStyle w:val="Caption"/>
              <w:jc w:val="center"/>
              <w:rPr>
                <w:sz w:val="24"/>
                <w:szCs w:val="24"/>
              </w:rPr>
            </w:pPr>
            <w:bookmarkStart w:id="16" w:name="_Ref169163487"/>
            <w:r w:rsidRPr="00445EB3">
              <w:rPr>
                <w:sz w:val="24"/>
                <w:szCs w:val="24"/>
              </w:rPr>
              <w:t xml:space="preserve">Equation </w:t>
            </w:r>
            <w:r w:rsidRPr="00445EB3">
              <w:rPr>
                <w:sz w:val="24"/>
                <w:szCs w:val="24"/>
              </w:rPr>
              <w:fldChar w:fldCharType="begin"/>
            </w:r>
            <w:r w:rsidRPr="00445EB3">
              <w:rPr>
                <w:sz w:val="24"/>
                <w:szCs w:val="24"/>
              </w:rPr>
              <w:instrText xml:space="preserve"> SEQ Equation \* ARABIC </w:instrText>
            </w:r>
            <w:r w:rsidRPr="00445EB3">
              <w:rPr>
                <w:sz w:val="24"/>
                <w:szCs w:val="24"/>
              </w:rPr>
              <w:fldChar w:fldCharType="separate"/>
            </w:r>
            <w:r w:rsidR="00040CA9">
              <w:rPr>
                <w:noProof/>
                <w:sz w:val="24"/>
                <w:szCs w:val="24"/>
              </w:rPr>
              <w:t>4</w:t>
            </w:r>
            <w:r w:rsidRPr="00445EB3">
              <w:rPr>
                <w:sz w:val="24"/>
                <w:szCs w:val="24"/>
              </w:rPr>
              <w:fldChar w:fldCharType="end"/>
            </w:r>
            <w:bookmarkEnd w:id="16"/>
            <w:r w:rsidRPr="00445EB3">
              <w:rPr>
                <w:sz w:val="24"/>
                <w:szCs w:val="24"/>
              </w:rPr>
              <w:t xml:space="preserve"> </w:t>
            </w:r>
            <w:r w:rsidR="003F7331" w:rsidRPr="00445EB3">
              <w:rPr>
                <w:color w:val="auto"/>
                <w:sz w:val="24"/>
                <w:szCs w:val="24"/>
              </w:rPr>
              <w:t xml:space="preserve">The </w:t>
            </w:r>
            <w:r w:rsidR="00564AB5" w:rsidRPr="00445EB3">
              <w:rPr>
                <w:color w:val="auto"/>
                <w:sz w:val="24"/>
                <w:szCs w:val="24"/>
              </w:rPr>
              <w:t>“</w:t>
            </w:r>
            <w:r w:rsidR="003F7331" w:rsidRPr="00445EB3">
              <w:rPr>
                <w:color w:val="auto"/>
                <w:sz w:val="24"/>
                <w:szCs w:val="24"/>
              </w:rPr>
              <w:t>Rouquerol criterion</w:t>
            </w:r>
            <w:r w:rsidR="00564AB5" w:rsidRPr="00445EB3">
              <w:rPr>
                <w:color w:val="auto"/>
                <w:sz w:val="24"/>
                <w:szCs w:val="24"/>
              </w:rPr>
              <w:t>”</w:t>
            </w:r>
            <w:r w:rsidR="003F7331" w:rsidRPr="00445EB3">
              <w:rPr>
                <w:color w:val="auto"/>
                <w:sz w:val="24"/>
                <w:szCs w:val="24"/>
              </w:rPr>
              <w:t xml:space="preserve"> for the upper limit of the BET calculation</w:t>
            </w:r>
          </w:p>
        </w:tc>
      </w:tr>
    </w:tbl>
    <w:p w14:paraId="06397532" w14:textId="77777777" w:rsidR="0023067A" w:rsidRDefault="0023067A" w:rsidP="00543A53">
      <w:pPr>
        <w:pStyle w:val="NoSpacing"/>
        <w:rPr>
          <w:iCs/>
        </w:rPr>
      </w:pPr>
    </w:p>
    <w:p w14:paraId="6551AC45" w14:textId="1096C58A" w:rsidR="00D72B8C" w:rsidRDefault="00E92D8F" w:rsidP="00543A53">
      <w:pPr>
        <w:pStyle w:val="NoSpacing"/>
        <w:rPr>
          <w:iCs/>
        </w:rPr>
      </w:pPr>
      <w:r>
        <w:rPr>
          <w:iCs/>
        </w:rPr>
        <w:t xml:space="preserve">The max </w:t>
      </w:r>
      <w:r w:rsidR="00923DD3">
        <w:rPr>
          <w:iCs/>
        </w:rPr>
        <w:t>is not likely to</w:t>
      </w:r>
      <w:r>
        <w:rPr>
          <w:iCs/>
        </w:rPr>
        <w:t xml:space="preserve"> be past the inflection point,</w:t>
      </w:r>
      <w:r w:rsidR="00923DD3">
        <w:rPr>
          <w:iCs/>
        </w:rPr>
        <w:t xml:space="preserve"> since the energy of adsorption would be very low.  The inflection point is also were the BET starts to vier off from the expected</w:t>
      </w:r>
      <w:r>
        <w:rPr>
          <w:iCs/>
        </w:rPr>
        <w:t xml:space="preserve"> </w:t>
      </w:r>
      <w:r w:rsidR="00923DD3">
        <w:rPr>
          <w:iCs/>
        </w:rPr>
        <w:t>curve.  T</w:t>
      </w:r>
      <w:r w:rsidR="00EB4C99">
        <w:rPr>
          <w:iCs/>
        </w:rPr>
        <w:t>h</w:t>
      </w:r>
      <w:r w:rsidR="0023067A">
        <w:rPr>
          <w:iCs/>
        </w:rPr>
        <w:t>u</w:t>
      </w:r>
      <w:r w:rsidR="00EB4C99">
        <w:rPr>
          <w:iCs/>
        </w:rPr>
        <w:t>s</w:t>
      </w:r>
      <w:r w:rsidR="00BF4530">
        <w:rPr>
          <w:iCs/>
        </w:rPr>
        <w:t xml:space="preserve">, the portion of the overall isotherm suitable for a BET analysis is </w:t>
      </w:r>
      <w:r w:rsidR="002C74CB">
        <w:rPr>
          <w:iCs/>
        </w:rPr>
        <w:sym w:font="Symbol" w:char="F0A3"/>
      </w:r>
      <w:r w:rsidR="002C74CB">
        <w:rPr>
          <w:iCs/>
        </w:rPr>
        <w:t xml:space="preserve"> </w:t>
      </w:r>
      <w:r w:rsidR="00BF4530">
        <w:rPr>
          <w:iCs/>
        </w:rPr>
        <w:t>3</w:t>
      </w:r>
      <w:r>
        <w:rPr>
          <w:iCs/>
        </w:rPr>
        <w:t>7</w:t>
      </w:r>
      <w:r w:rsidR="00BF4530">
        <w:rPr>
          <w:iCs/>
        </w:rPr>
        <w:t xml:space="preserve">% </w:t>
      </w:r>
      <w:r w:rsidR="00CB5673">
        <w:rPr>
          <w:iCs/>
        </w:rPr>
        <w:t xml:space="preserve">of the </w:t>
      </w:r>
      <w:r w:rsidR="002C74CB">
        <w:rPr>
          <w:iCs/>
        </w:rPr>
        <w:t>total range</w:t>
      </w:r>
      <w:r w:rsidR="006D5644">
        <w:rPr>
          <w:iCs/>
        </w:rPr>
        <w:t>.</w:t>
      </w:r>
      <w:r w:rsidR="00DF59FB">
        <w:rPr>
          <w:iCs/>
        </w:rPr>
        <w:t xml:space="preserve"> </w:t>
      </w:r>
      <w:r w:rsidR="006D5644">
        <w:rPr>
          <w:iCs/>
        </w:rPr>
        <w:t>However, this</w:t>
      </w:r>
      <w:r w:rsidR="00DF59FB">
        <w:rPr>
          <w:iCs/>
        </w:rPr>
        <w:t xml:space="preserve"> is often considerably less using the </w:t>
      </w:r>
      <w:r w:rsidR="00EB4C99">
        <w:rPr>
          <w:iCs/>
        </w:rPr>
        <w:t>“</w:t>
      </w:r>
      <w:r w:rsidR="00DF59FB">
        <w:rPr>
          <w:iCs/>
        </w:rPr>
        <w:t>Rouquerol criterion</w:t>
      </w:r>
      <w:r w:rsidR="00BF4530">
        <w:rPr>
          <w:iCs/>
        </w:rPr>
        <w:t>.</w:t>
      </w:r>
      <w:r w:rsidR="00EB4C99">
        <w:rPr>
          <w:iCs/>
        </w:rPr>
        <w:t xml:space="preserve">” </w:t>
      </w:r>
      <w:r w:rsidR="00BF4530">
        <w:rPr>
          <w:iCs/>
        </w:rPr>
        <w:t xml:space="preserve"> The rest of the isotherm is ignored for the determination of </w:t>
      </w:r>
      <w:r w:rsidR="00D72B8C">
        <w:rPr>
          <w:iCs/>
        </w:rPr>
        <w:t>the monolayer equivalent</w:t>
      </w:r>
      <w:r w:rsidR="006B435E">
        <w:rPr>
          <w:iCs/>
        </w:rPr>
        <w:t>,</w:t>
      </w:r>
      <w:r w:rsidR="00CB5673">
        <w:rPr>
          <w:iCs/>
        </w:rPr>
        <w:t xml:space="preserve"> </w:t>
      </w:r>
      <w:r w:rsidR="00CB5673">
        <w:rPr>
          <w:i/>
        </w:rPr>
        <w:t>n</w:t>
      </w:r>
      <w:r w:rsidR="00CB5673">
        <w:rPr>
          <w:iCs/>
          <w:vertAlign w:val="subscript"/>
        </w:rPr>
        <w:t>m</w:t>
      </w:r>
      <w:r w:rsidR="006B435E">
        <w:rPr>
          <w:iCs/>
        </w:rPr>
        <w:t xml:space="preserve"> </w:t>
      </w:r>
      <w:r w:rsidR="00CB5673">
        <w:rPr>
          <w:iCs/>
        </w:rPr>
        <w:t>(</w:t>
      </w:r>
      <w:r w:rsidR="006B435E">
        <w:rPr>
          <w:iCs/>
        </w:rPr>
        <w:t>th</w:t>
      </w:r>
      <w:r w:rsidR="00CB5673">
        <w:rPr>
          <w:iCs/>
        </w:rPr>
        <w:t>us</w:t>
      </w:r>
      <w:r w:rsidR="006B435E">
        <w:rPr>
          <w:iCs/>
        </w:rPr>
        <w:t xml:space="preserve"> </w:t>
      </w:r>
      <w:r w:rsidR="006B435E">
        <w:rPr>
          <w:i/>
        </w:rPr>
        <w:t>A</w:t>
      </w:r>
      <w:r w:rsidR="00CB5673">
        <w:rPr>
          <w:iCs/>
        </w:rPr>
        <w:t>)</w:t>
      </w:r>
      <w:r w:rsidR="00D72B8C">
        <w:rPr>
          <w:iCs/>
        </w:rPr>
        <w:t xml:space="preserve"> and the </w:t>
      </w:r>
      <w:r w:rsidR="00D72B8C">
        <w:rPr>
          <w:i/>
        </w:rPr>
        <w:t>C</w:t>
      </w:r>
      <w:r w:rsidR="00D72B8C">
        <w:rPr>
          <w:iCs/>
        </w:rPr>
        <w:t xml:space="preserve"> constant.</w:t>
      </w:r>
    </w:p>
    <w:p w14:paraId="094ABA3F" w14:textId="77777777" w:rsidR="00D72B8C" w:rsidRDefault="00D72B8C" w:rsidP="00543A53">
      <w:pPr>
        <w:pStyle w:val="NoSpacing"/>
        <w:rPr>
          <w:iCs/>
        </w:rPr>
      </w:pPr>
    </w:p>
    <w:p w14:paraId="792B3791" w14:textId="7E3902A2" w:rsidR="00D72B8C" w:rsidRPr="00024BF6" w:rsidRDefault="00D72B8C" w:rsidP="00543A53">
      <w:pPr>
        <w:pStyle w:val="NoSpacing"/>
        <w:rPr>
          <w:iCs/>
        </w:rPr>
      </w:pPr>
      <w:r>
        <w:rPr>
          <w:iCs/>
        </w:rPr>
        <w:t>There is one other criterion</w:t>
      </w:r>
      <w:r w:rsidR="006B435E">
        <w:rPr>
          <w:iCs/>
        </w:rPr>
        <w:t>:</w:t>
      </w:r>
      <w:r>
        <w:rPr>
          <w:iCs/>
        </w:rPr>
        <w:t xml:space="preserve"> the BET </w:t>
      </w:r>
      <w:r>
        <w:rPr>
          <w:i/>
        </w:rPr>
        <w:t>C</w:t>
      </w:r>
      <w:r>
        <w:rPr>
          <w:b/>
          <w:bCs/>
          <w:iCs/>
        </w:rPr>
        <w:t xml:space="preserve"> </w:t>
      </w:r>
      <w:r>
        <w:rPr>
          <w:iCs/>
        </w:rPr>
        <w:t>c</w:t>
      </w:r>
      <w:r w:rsidRPr="00D72B8C">
        <w:rPr>
          <w:iCs/>
        </w:rPr>
        <w:t>onstant cannot be below 50.  If it is below 50 then the position of the valid linear range must be adjusted so that it is above 50.</w:t>
      </w:r>
      <w:r>
        <w:rPr>
          <w:iCs/>
        </w:rPr>
        <w:t xml:space="preserve"> </w:t>
      </w:r>
      <w:r w:rsidR="00024BF6">
        <w:rPr>
          <w:iCs/>
        </w:rPr>
        <w:t xml:space="preserve"> In practice this does not seem to be followed.  </w:t>
      </w:r>
      <w:r w:rsidR="00D763D9">
        <w:rPr>
          <w:iCs/>
        </w:rPr>
        <w:t xml:space="preserve">The reason for the criterion is uncertain.  There seems to be no theoretical reason that it must be above 50, except, perhaps, results by other research did not make sense when it was below 50.  Obviously, the </w:t>
      </w:r>
      <w:r w:rsidR="00D763D9">
        <w:rPr>
          <w:i/>
        </w:rPr>
        <w:t>C</w:t>
      </w:r>
      <w:r w:rsidR="00D763D9">
        <w:rPr>
          <w:iCs/>
        </w:rPr>
        <w:t xml:space="preserve"> constant </w:t>
      </w:r>
      <w:r w:rsidR="0056718E">
        <w:rPr>
          <w:iCs/>
        </w:rPr>
        <w:t xml:space="preserve">is an equilibrium constant, it </w:t>
      </w:r>
      <w:r w:rsidR="00D763D9">
        <w:rPr>
          <w:iCs/>
        </w:rPr>
        <w:t xml:space="preserve">cannot be </w:t>
      </w:r>
      <w:r w:rsidR="00EF14C6">
        <w:rPr>
          <w:iCs/>
        </w:rPr>
        <w:t>negative,</w:t>
      </w:r>
      <w:r w:rsidR="00D763D9">
        <w:rPr>
          <w:iCs/>
        </w:rPr>
        <w:t xml:space="preserve"> or one obtains an imaginary adsorption energy.  However, if</w:t>
      </w:r>
      <w:r w:rsidR="00024BF6">
        <w:rPr>
          <w:iCs/>
        </w:rPr>
        <w:t xml:space="preserve"> the </w:t>
      </w:r>
      <w:r w:rsidR="00024BF6">
        <w:rPr>
          <w:i/>
        </w:rPr>
        <w:t>C</w:t>
      </w:r>
      <w:r w:rsidR="00024BF6">
        <w:rPr>
          <w:iCs/>
        </w:rPr>
        <w:t xml:space="preserve"> constant is negative the investigators probably </w:t>
      </w:r>
      <w:r w:rsidR="0056718E">
        <w:rPr>
          <w:iCs/>
        </w:rPr>
        <w:t xml:space="preserve">would </w:t>
      </w:r>
      <w:r w:rsidR="00024BF6">
        <w:rPr>
          <w:iCs/>
        </w:rPr>
        <w:t xml:space="preserve">not report this, there are many </w:t>
      </w:r>
      <w:r w:rsidR="00D763D9">
        <w:rPr>
          <w:iCs/>
        </w:rPr>
        <w:t xml:space="preserve">older </w:t>
      </w:r>
      <w:r w:rsidR="00024BF6">
        <w:rPr>
          <w:iCs/>
        </w:rPr>
        <w:t xml:space="preserve">publications where only </w:t>
      </w:r>
      <w:r w:rsidR="00024BF6">
        <w:rPr>
          <w:i/>
        </w:rPr>
        <w:t>A</w:t>
      </w:r>
      <w:r w:rsidR="00024BF6">
        <w:rPr>
          <w:iCs/>
        </w:rPr>
        <w:t xml:space="preserve"> is reported.</w:t>
      </w:r>
    </w:p>
    <w:p w14:paraId="3181936F" w14:textId="77777777" w:rsidR="00C8234A" w:rsidRDefault="00C8234A" w:rsidP="00543A53">
      <w:pPr>
        <w:pStyle w:val="NoSpacing"/>
        <w:rPr>
          <w:i/>
        </w:rPr>
      </w:pPr>
    </w:p>
    <w:p w14:paraId="09FFA03A" w14:textId="08017C05" w:rsidR="00D72B8C" w:rsidRDefault="00EF14C6" w:rsidP="00C8234A">
      <w:pPr>
        <w:pStyle w:val="NoSpacing"/>
        <w:outlineLvl w:val="1"/>
        <w:rPr>
          <w:iCs/>
        </w:rPr>
      </w:pPr>
      <w:bookmarkStart w:id="17" w:name="_Toc171582128"/>
      <w:r>
        <w:rPr>
          <w:i/>
        </w:rPr>
        <w:t>B</w:t>
      </w:r>
      <w:r w:rsidR="00C8234A">
        <w:rPr>
          <w:i/>
        </w:rPr>
        <w:t xml:space="preserve">) </w:t>
      </w:r>
      <w:r w:rsidR="00D72B8C">
        <w:rPr>
          <w:i/>
        </w:rPr>
        <w:t>What is wrong with the BET</w:t>
      </w:r>
      <w:r w:rsidR="002C74CB">
        <w:rPr>
          <w:i/>
        </w:rPr>
        <w:t>?</w:t>
      </w:r>
      <w:bookmarkEnd w:id="17"/>
    </w:p>
    <w:p w14:paraId="2EB28FF0" w14:textId="77777777" w:rsidR="002F62D3" w:rsidRDefault="002F62D3" w:rsidP="00543A53">
      <w:pPr>
        <w:pStyle w:val="NoSpacing"/>
        <w:rPr>
          <w:iCs/>
        </w:rPr>
      </w:pPr>
    </w:p>
    <w:p w14:paraId="1348ACE0" w14:textId="55E82C1C" w:rsidR="007969F1" w:rsidRDefault="002F62D3" w:rsidP="00543A53">
      <w:pPr>
        <w:pStyle w:val="NoSpacing"/>
        <w:rPr>
          <w:iCs/>
        </w:rPr>
      </w:pPr>
      <w:r>
        <w:rPr>
          <w:iCs/>
        </w:rPr>
        <w:t>There is a long list of problems with the BET</w:t>
      </w:r>
      <w:r w:rsidR="00A866B4">
        <w:rPr>
          <w:iCs/>
        </w:rPr>
        <w:t>.  The early arguments were set aside since there was no alternative to obtain an answer</w:t>
      </w:r>
      <w:r w:rsidR="00DF59FB">
        <w:rPr>
          <w:iCs/>
        </w:rPr>
        <w:t xml:space="preserve"> for surface area</w:t>
      </w:r>
      <w:r w:rsidR="00A866B4">
        <w:rPr>
          <w:iCs/>
        </w:rPr>
        <w:t xml:space="preserve">.  </w:t>
      </w:r>
      <w:r w:rsidR="00A62DC1">
        <w:rPr>
          <w:iCs/>
        </w:rPr>
        <w:t>An entire section of th</w:t>
      </w:r>
      <w:r w:rsidR="00DD3504">
        <w:rPr>
          <w:iCs/>
        </w:rPr>
        <w:t>is</w:t>
      </w:r>
      <w:r w:rsidR="00A62DC1">
        <w:rPr>
          <w:iCs/>
        </w:rPr>
        <w:t xml:space="preserve"> has been covered in the previous publication</w:t>
      </w:r>
      <w:r w:rsidR="00A62DC1">
        <w:rPr>
          <w:iCs/>
        </w:rPr>
        <w:fldChar w:fldCharType="begin"/>
      </w:r>
      <w:r w:rsidR="00A62DC1">
        <w:rPr>
          <w:iCs/>
        </w:rPr>
        <w:instrText xml:space="preserve"> NOTEREF _Ref159694837 \f \h </w:instrText>
      </w:r>
      <w:r w:rsidR="00A62DC1">
        <w:rPr>
          <w:iCs/>
        </w:rPr>
      </w:r>
      <w:r w:rsidR="00A62DC1">
        <w:rPr>
          <w:iCs/>
        </w:rPr>
        <w:fldChar w:fldCharType="separate"/>
      </w:r>
      <w:r w:rsidR="00040CA9" w:rsidRPr="00040CA9">
        <w:rPr>
          <w:rStyle w:val="EndnoteReference"/>
        </w:rPr>
        <w:t>4</w:t>
      </w:r>
      <w:r w:rsidR="00A62DC1">
        <w:rPr>
          <w:iCs/>
        </w:rPr>
        <w:fldChar w:fldCharType="end"/>
      </w:r>
      <w:r w:rsidR="00A62DC1">
        <w:rPr>
          <w:iCs/>
        </w:rPr>
        <w:t xml:space="preserve"> along with a section in a book</w:t>
      </w:r>
      <w:r w:rsidR="00DD3504">
        <w:rPr>
          <w:iCs/>
        </w:rPr>
        <w:fldChar w:fldCharType="begin"/>
      </w:r>
      <w:r w:rsidR="00DD3504">
        <w:rPr>
          <w:iCs/>
        </w:rPr>
        <w:instrText xml:space="preserve"> NOTEREF _Ref159694837 \f \h </w:instrText>
      </w:r>
      <w:r w:rsidR="00DD3504">
        <w:rPr>
          <w:iCs/>
        </w:rPr>
      </w:r>
      <w:r w:rsidR="00DD3504">
        <w:rPr>
          <w:iCs/>
        </w:rPr>
        <w:fldChar w:fldCharType="separate"/>
      </w:r>
      <w:r w:rsidR="00DD3504" w:rsidRPr="00DD3504">
        <w:rPr>
          <w:rStyle w:val="EndnoteReference"/>
        </w:rPr>
        <w:t>5</w:t>
      </w:r>
      <w:r w:rsidR="00DD3504">
        <w:rPr>
          <w:iCs/>
        </w:rPr>
        <w:fldChar w:fldCharType="end"/>
      </w:r>
      <w:r w:rsidR="00A62DC1">
        <w:rPr>
          <w:iCs/>
        </w:rPr>
        <w:t xml:space="preserve"> and its Appendix III with </w:t>
      </w:r>
      <w:r w:rsidR="00AE0295">
        <w:rPr>
          <w:iCs/>
        </w:rPr>
        <w:t xml:space="preserve">a </w:t>
      </w:r>
      <w:r w:rsidR="00A62DC1">
        <w:rPr>
          <w:iCs/>
        </w:rPr>
        <w:t xml:space="preserve">list by Gregg and Jacobs, </w:t>
      </w:r>
      <w:r w:rsidR="00AE0295">
        <w:rPr>
          <w:iCs/>
        </w:rPr>
        <w:t xml:space="preserve">which </w:t>
      </w:r>
      <w:r w:rsidR="00A62DC1">
        <w:rPr>
          <w:iCs/>
        </w:rPr>
        <w:t>present many of these arguments.</w:t>
      </w:r>
      <w:r w:rsidR="00A866B4">
        <w:rPr>
          <w:iCs/>
        </w:rPr>
        <w:t xml:space="preserve">  </w:t>
      </w:r>
      <w:r w:rsidR="00C8234A">
        <w:rPr>
          <w:iCs/>
        </w:rPr>
        <w:t>Provided h</w:t>
      </w:r>
      <w:r w:rsidR="00A866B4">
        <w:rPr>
          <w:iCs/>
        </w:rPr>
        <w:t xml:space="preserve">ere </w:t>
      </w:r>
      <w:r w:rsidR="00C8234A">
        <w:rPr>
          <w:iCs/>
        </w:rPr>
        <w:t xml:space="preserve">are </w:t>
      </w:r>
      <w:r w:rsidR="00A866B4">
        <w:rPr>
          <w:iCs/>
        </w:rPr>
        <w:t>two arguments not presented early</w:t>
      </w:r>
      <w:r w:rsidR="00D63732">
        <w:rPr>
          <w:iCs/>
        </w:rPr>
        <w:t xml:space="preserve"> in the 20</w:t>
      </w:r>
      <w:r w:rsidR="00D63732" w:rsidRPr="00D63732">
        <w:rPr>
          <w:iCs/>
          <w:vertAlign w:val="superscript"/>
        </w:rPr>
        <w:t>th</w:t>
      </w:r>
      <w:r w:rsidR="00D63732">
        <w:rPr>
          <w:iCs/>
        </w:rPr>
        <w:t xml:space="preserve"> century</w:t>
      </w:r>
      <w:r w:rsidR="00A866B4">
        <w:rPr>
          <w:iCs/>
        </w:rPr>
        <w:t xml:space="preserve">.  One is a definite </w:t>
      </w:r>
      <w:r w:rsidR="00024BF6">
        <w:rPr>
          <w:iCs/>
        </w:rPr>
        <w:t>disproof; a</w:t>
      </w:r>
      <w:r w:rsidR="00EB4C99">
        <w:rPr>
          <w:iCs/>
        </w:rPr>
        <w:t xml:space="preserve">nother </w:t>
      </w:r>
      <w:r w:rsidR="00A866B4">
        <w:rPr>
          <w:iCs/>
        </w:rPr>
        <w:t>is a</w:t>
      </w:r>
      <w:r w:rsidR="00EB4C99">
        <w:rPr>
          <w:iCs/>
        </w:rPr>
        <w:t>n</w:t>
      </w:r>
      <w:r w:rsidR="00A866B4">
        <w:rPr>
          <w:iCs/>
        </w:rPr>
        <w:t xml:space="preserve"> argument for the practical question</w:t>
      </w:r>
      <w:r w:rsidR="00E151A4">
        <w:rPr>
          <w:iCs/>
        </w:rPr>
        <w:t>, “</w:t>
      </w:r>
      <w:r w:rsidR="00A866B4">
        <w:rPr>
          <w:iCs/>
        </w:rPr>
        <w:t>How good does the BET fit the data?”</w:t>
      </w:r>
      <w:r w:rsidR="007969F1">
        <w:rPr>
          <w:iCs/>
        </w:rPr>
        <w:t xml:space="preserve">  This latter is </w:t>
      </w:r>
      <w:r w:rsidR="00D63732">
        <w:rPr>
          <w:iCs/>
        </w:rPr>
        <w:t>a statistical disproof</w:t>
      </w:r>
      <w:r w:rsidR="00C8234A">
        <w:rPr>
          <w:iCs/>
        </w:rPr>
        <w:t>,</w:t>
      </w:r>
      <w:r w:rsidR="00D63732">
        <w:rPr>
          <w:iCs/>
        </w:rPr>
        <w:t xml:space="preserve"> not a QED</w:t>
      </w:r>
      <w:r w:rsidR="00C8234A">
        <w:rPr>
          <w:iCs/>
        </w:rPr>
        <w:t xml:space="preserve"> like the first</w:t>
      </w:r>
      <w:r w:rsidR="00B448DD">
        <w:rPr>
          <w:iCs/>
        </w:rPr>
        <w:t>,</w:t>
      </w:r>
      <w:r w:rsidR="007969F1">
        <w:rPr>
          <w:iCs/>
        </w:rPr>
        <w:t xml:space="preserve"> but it does not make sense to fit</w:t>
      </w:r>
      <w:r w:rsidR="00C8234A">
        <w:rPr>
          <w:iCs/>
        </w:rPr>
        <w:t xml:space="preserve"> </w:t>
      </w:r>
      <w:r w:rsidR="007969F1">
        <w:rPr>
          <w:iCs/>
        </w:rPr>
        <w:t xml:space="preserve">data </w:t>
      </w:r>
      <w:r w:rsidR="000E7F4A">
        <w:rPr>
          <w:iCs/>
        </w:rPr>
        <w:t xml:space="preserve">to a function </w:t>
      </w:r>
      <w:r w:rsidR="007969F1">
        <w:rPr>
          <w:iCs/>
        </w:rPr>
        <w:t xml:space="preserve">if it does not </w:t>
      </w:r>
      <w:r w:rsidR="000E7F4A">
        <w:rPr>
          <w:iCs/>
        </w:rPr>
        <w:t>match</w:t>
      </w:r>
      <w:r w:rsidR="007969F1">
        <w:rPr>
          <w:iCs/>
        </w:rPr>
        <w:t>.</w:t>
      </w:r>
    </w:p>
    <w:p w14:paraId="661CDA2D" w14:textId="77777777" w:rsidR="00DF59FB" w:rsidRDefault="00DF59FB" w:rsidP="00543A53">
      <w:pPr>
        <w:pStyle w:val="NoSpacing"/>
        <w:rPr>
          <w:iCs/>
        </w:rPr>
      </w:pPr>
    </w:p>
    <w:p w14:paraId="7BEAD127" w14:textId="3B4DCC7A" w:rsidR="00C22D84" w:rsidRDefault="007969F1" w:rsidP="00543A53">
      <w:pPr>
        <w:pStyle w:val="NoSpacing"/>
        <w:rPr>
          <w:iCs/>
        </w:rPr>
      </w:pPr>
      <w:r>
        <w:rPr>
          <w:iCs/>
        </w:rPr>
        <w:t xml:space="preserve">First, is the question of </w:t>
      </w:r>
      <w:r w:rsidR="00D63732">
        <w:rPr>
          <w:iCs/>
        </w:rPr>
        <w:t>standard deviation of the fit</w:t>
      </w:r>
      <w:r>
        <w:rPr>
          <w:iCs/>
        </w:rPr>
        <w:t>. To be fair, only the data in the “BET range” will be compared statistically</w:t>
      </w:r>
      <w:r w:rsidR="0045276D">
        <w:rPr>
          <w:iCs/>
        </w:rPr>
        <w:t>; e</w:t>
      </w:r>
      <w:r w:rsidR="00DF59FB">
        <w:rPr>
          <w:iCs/>
        </w:rPr>
        <w:t xml:space="preserve">ven though there are very few areas of science where it is permissible to discard </w:t>
      </w:r>
      <w:r w:rsidR="00266230">
        <w:rPr>
          <w:rFonts w:cs="Times New Roman"/>
          <w:iCs/>
        </w:rPr>
        <w:t>⅔</w:t>
      </w:r>
      <w:r w:rsidR="00DF59FB">
        <w:rPr>
          <w:iCs/>
        </w:rPr>
        <w:t xml:space="preserve"> of the data because it disagrees with theory.  </w:t>
      </w:r>
      <w:r w:rsidR="00C8234A">
        <w:rPr>
          <w:iCs/>
        </w:rPr>
        <w:t>T</w:t>
      </w:r>
      <w:r>
        <w:rPr>
          <w:iCs/>
        </w:rPr>
        <w:t xml:space="preserve">he simplest case, that is, a </w:t>
      </w:r>
      <w:r>
        <w:rPr>
          <w:iCs/>
        </w:rPr>
        <w:lastRenderedPageBreak/>
        <w:t>homogeneous, non-porous adsorbent</w:t>
      </w:r>
      <w:r w:rsidR="00C8234A">
        <w:rPr>
          <w:iCs/>
        </w:rPr>
        <w:t xml:space="preserve"> is selected to avoid compl</w:t>
      </w:r>
      <w:r w:rsidR="003C6A7F">
        <w:rPr>
          <w:iCs/>
        </w:rPr>
        <w:t>i</w:t>
      </w:r>
      <w:r w:rsidR="00C8234A">
        <w:rPr>
          <w:iCs/>
        </w:rPr>
        <w:t>cations.</w:t>
      </w:r>
      <w:r>
        <w:rPr>
          <w:iCs/>
        </w:rPr>
        <w:t xml:space="preserve">  </w:t>
      </w:r>
      <w:r w:rsidR="001E0A79">
        <w:rPr>
          <w:iCs/>
        </w:rPr>
        <w:t>It turns out that the first requirement is difficult to fulfill, but there are some examples that come close</w:t>
      </w:r>
      <w:r w:rsidR="001E0A79">
        <w:rPr>
          <w:rStyle w:val="FootnoteReference"/>
          <w:iCs/>
        </w:rPr>
        <w:footnoteReference w:id="8"/>
      </w:r>
      <w:r w:rsidR="001E0A79">
        <w:rPr>
          <w:iCs/>
        </w:rPr>
        <w:t>.</w:t>
      </w:r>
    </w:p>
    <w:p w14:paraId="33742BC9" w14:textId="16E1D8CF" w:rsidR="00D763D9" w:rsidRDefault="00D763D9" w:rsidP="00543A53">
      <w:pPr>
        <w:pStyle w:val="NoSpacing"/>
        <w:rPr>
          <w:iCs/>
        </w:rPr>
      </w:pPr>
      <w:r>
        <w:rPr>
          <w:iCs/>
        </w:rPr>
        <w:t>The question of “fit” is a question of comparison.  Does a theory fit the data well enough</w:t>
      </w:r>
      <w:r w:rsidR="00000FA5">
        <w:rPr>
          <w:iCs/>
        </w:rPr>
        <w:t xml:space="preserve"> that no other theoretical formulation can </w:t>
      </w:r>
      <w:r w:rsidR="00854230">
        <w:rPr>
          <w:iCs/>
        </w:rPr>
        <w:t xml:space="preserve">match or </w:t>
      </w:r>
      <w:r w:rsidR="00000FA5">
        <w:rPr>
          <w:iCs/>
        </w:rPr>
        <w:t>exceed the goodness of fit</w:t>
      </w:r>
      <w:r w:rsidR="00854230">
        <w:rPr>
          <w:iCs/>
        </w:rPr>
        <w:t>, and does the alternative yield the same or fewer output parameters that have physical meanings.</w:t>
      </w:r>
      <w:r w:rsidR="00000FA5">
        <w:rPr>
          <w:iCs/>
        </w:rPr>
        <w:t xml:space="preserve">  Thus, there must be an alternative hypothesis to make a comparison.  </w:t>
      </w:r>
      <w:r w:rsidR="00854230">
        <w:rPr>
          <w:iCs/>
        </w:rPr>
        <w:t>In this case, the</w:t>
      </w:r>
      <w:r w:rsidR="00000FA5">
        <w:rPr>
          <w:iCs/>
        </w:rPr>
        <w:t xml:space="preserve"> other hypothesis is the quantum mechanical and excess surface work hypothes</w:t>
      </w:r>
      <w:r w:rsidR="00854230">
        <w:rPr>
          <w:iCs/>
        </w:rPr>
        <w:t>e</w:t>
      </w:r>
      <w:r w:rsidR="00000FA5">
        <w:rPr>
          <w:iCs/>
        </w:rPr>
        <w:t xml:space="preserve">s (QM/ESW.)  In their simplest forms, both the BET and the (QM/ESW) yield </w:t>
      </w:r>
      <w:r w:rsidR="00000FA5">
        <w:rPr>
          <w:i/>
        </w:rPr>
        <w:t>n</w:t>
      </w:r>
      <w:r w:rsidR="00000FA5">
        <w:rPr>
          <w:iCs/>
          <w:vertAlign w:val="subscript"/>
        </w:rPr>
        <w:t>m</w:t>
      </w:r>
      <w:r w:rsidR="00000FA5">
        <w:rPr>
          <w:iCs/>
        </w:rPr>
        <w:t xml:space="preserve"> and an energy parameter.</w:t>
      </w:r>
      <w:r w:rsidR="00235515">
        <w:rPr>
          <w:iCs/>
        </w:rPr>
        <w:t xml:space="preserve">  However, as indicated </w:t>
      </w:r>
      <w:r w:rsidR="00854230">
        <w:rPr>
          <w:iCs/>
        </w:rPr>
        <w:t xml:space="preserve">in the example </w:t>
      </w:r>
      <w:r w:rsidR="00235515">
        <w:rPr>
          <w:iCs/>
        </w:rPr>
        <w:t>below, the BET over its limit</w:t>
      </w:r>
      <w:r w:rsidR="00854230">
        <w:rPr>
          <w:iCs/>
        </w:rPr>
        <w:t>ed</w:t>
      </w:r>
      <w:r w:rsidR="00235515">
        <w:rPr>
          <w:iCs/>
        </w:rPr>
        <w:t xml:space="preserve"> range has a standard deviation that is 1.6 </w:t>
      </w:r>
      <w:r w:rsidR="00235515">
        <w:rPr>
          <w:rFonts w:cs="Times New Roman"/>
          <w:iCs/>
        </w:rPr>
        <w:t>×</w:t>
      </w:r>
      <w:r w:rsidR="00235515">
        <w:rPr>
          <w:iCs/>
        </w:rPr>
        <w:t xml:space="preserve"> 10</w:t>
      </w:r>
      <w:r w:rsidR="00235515">
        <w:rPr>
          <w:iCs/>
          <w:vertAlign w:val="superscript"/>
        </w:rPr>
        <w:t>5</w:t>
      </w:r>
      <w:r w:rsidR="00235515">
        <w:rPr>
          <w:iCs/>
        </w:rPr>
        <w:t xml:space="preserve"> greater tha</w:t>
      </w:r>
      <w:r w:rsidR="00266230">
        <w:rPr>
          <w:iCs/>
        </w:rPr>
        <w:t>n</w:t>
      </w:r>
      <w:r w:rsidR="00235515">
        <w:rPr>
          <w:iCs/>
        </w:rPr>
        <w:t xml:space="preserve"> the standard deviation of the QM/ESW fit</w:t>
      </w:r>
      <w:r w:rsidR="00854230">
        <w:rPr>
          <w:iCs/>
        </w:rPr>
        <w:t xml:space="preserve"> over the entire data range</w:t>
      </w:r>
      <w:r w:rsidR="00235515">
        <w:rPr>
          <w:iCs/>
        </w:rPr>
        <w:t xml:space="preserve">.  This is an almost unbelievable advantage, even given the cautionary statements above.  It seems it would be hard to ignore this difference. </w:t>
      </w:r>
    </w:p>
    <w:p w14:paraId="42E0E1FB" w14:textId="77777777" w:rsidR="001345A3" w:rsidRDefault="001345A3" w:rsidP="00543A53">
      <w:pPr>
        <w:pStyle w:val="NoSpacing"/>
        <w:rPr>
          <w:iCs/>
        </w:rPr>
      </w:pPr>
    </w:p>
    <w:p w14:paraId="62D72F0C" w14:textId="18FB2A7D" w:rsidR="001345A3" w:rsidRPr="00000FA5" w:rsidRDefault="001345A3" w:rsidP="00543A53">
      <w:pPr>
        <w:pStyle w:val="NoSpacing"/>
        <w:rPr>
          <w:iCs/>
        </w:rPr>
      </w:pPr>
      <w:r>
        <w:rPr>
          <w:iCs/>
        </w:rPr>
        <w:t>For a QM/ESW analysis, the normal acceptable error limit has be</w:t>
      </w:r>
      <w:r w:rsidR="00266230">
        <w:rPr>
          <w:iCs/>
        </w:rPr>
        <w:t>en</w:t>
      </w:r>
      <w:r>
        <w:rPr>
          <w:iCs/>
        </w:rPr>
        <w:t xml:space="preserve"> arbitrarily set to less than 1% of the entire data range</w:t>
      </w:r>
      <w:r w:rsidR="00854230">
        <w:rPr>
          <w:iCs/>
        </w:rPr>
        <w:t>.  This is</w:t>
      </w:r>
      <w:r>
        <w:rPr>
          <w:iCs/>
        </w:rPr>
        <w:t xml:space="preserve"> a criterion that the BET seldom fulfills</w:t>
      </w:r>
      <w:r w:rsidR="00210966">
        <w:rPr>
          <w:iCs/>
        </w:rPr>
        <w:t>, provided</w:t>
      </w:r>
      <w:r w:rsidR="00266230">
        <w:rPr>
          <w:iCs/>
        </w:rPr>
        <w:t xml:space="preserve"> the </w:t>
      </w:r>
      <w:r w:rsidR="00854230">
        <w:rPr>
          <w:i/>
        </w:rPr>
        <w:t>n</w:t>
      </w:r>
      <w:r w:rsidR="00854230">
        <w:rPr>
          <w:iCs/>
          <w:vertAlign w:val="subscript"/>
        </w:rPr>
        <w:t>a</w:t>
      </w:r>
      <w:r w:rsidR="00210966">
        <w:rPr>
          <w:iCs/>
          <w:vertAlign w:val="subscript"/>
        </w:rPr>
        <w:t xml:space="preserve"> </w:t>
      </w:r>
      <w:r w:rsidR="00210966">
        <w:rPr>
          <w:iCs/>
        </w:rPr>
        <w:t xml:space="preserve">amount </w:t>
      </w:r>
      <w:r w:rsidR="00210966" w:rsidRPr="00210966">
        <w:rPr>
          <w:iCs/>
        </w:rPr>
        <w:t>observed</w:t>
      </w:r>
      <w:r w:rsidR="00854230">
        <w:rPr>
          <w:iCs/>
        </w:rPr>
        <w:t xml:space="preserve">, is compared to the calculation </w:t>
      </w:r>
      <w:r w:rsidR="00210966">
        <w:rPr>
          <w:i/>
        </w:rPr>
        <w:t>n</w:t>
      </w:r>
      <w:r w:rsidR="00210966">
        <w:rPr>
          <w:iCs/>
          <w:vertAlign w:val="subscript"/>
        </w:rPr>
        <w:t>a</w:t>
      </w:r>
      <w:r w:rsidR="00854230">
        <w:rPr>
          <w:iCs/>
        </w:rPr>
        <w:t xml:space="preserve"> from the transform calculation,</w:t>
      </w:r>
      <w:r>
        <w:rPr>
          <w:iCs/>
        </w:rPr>
        <w:t xml:space="preserve"> even over </w:t>
      </w:r>
      <w:r w:rsidR="00210966">
        <w:rPr>
          <w:iCs/>
        </w:rPr>
        <w:t>the selected BET</w:t>
      </w:r>
      <w:r>
        <w:rPr>
          <w:iCs/>
        </w:rPr>
        <w:t xml:space="preserve"> restricted range.</w:t>
      </w:r>
    </w:p>
    <w:p w14:paraId="7A66B914" w14:textId="77777777" w:rsidR="00C22D84" w:rsidRDefault="00C22D84" w:rsidP="00543A53">
      <w:pPr>
        <w:pStyle w:val="NoSpacing"/>
        <w:rPr>
          <w:iCs/>
        </w:rPr>
      </w:pPr>
    </w:p>
    <w:p w14:paraId="7AC7D22D" w14:textId="5F367929" w:rsidR="00040CA9" w:rsidRDefault="00516868" w:rsidP="00040CA9">
      <w:pPr>
        <w:pStyle w:val="NoSpacing"/>
        <w:outlineLvl w:val="0"/>
        <w:rPr>
          <w:b/>
          <w:bCs/>
          <w:iCs/>
        </w:rPr>
      </w:pPr>
      <w:bookmarkStart w:id="18" w:name="_Toc171582129"/>
      <w:r>
        <w:rPr>
          <w:b/>
          <w:bCs/>
          <w:iCs/>
        </w:rPr>
        <w:t xml:space="preserve">Part II: </w:t>
      </w:r>
      <w:r w:rsidR="00923DD3">
        <w:rPr>
          <w:b/>
          <w:bCs/>
          <w:iCs/>
        </w:rPr>
        <w:t xml:space="preserve">An alternate hypothesis - </w:t>
      </w:r>
      <w:r w:rsidRPr="00516868">
        <w:rPr>
          <w:b/>
          <w:bCs/>
          <w:iCs/>
        </w:rPr>
        <w:t>Quantum Mechanics</w:t>
      </w:r>
      <w:r w:rsidR="00144E15">
        <w:rPr>
          <w:b/>
          <w:bCs/>
          <w:iCs/>
        </w:rPr>
        <w:t xml:space="preserve"> applie</w:t>
      </w:r>
      <w:r w:rsidR="00923DD3">
        <w:rPr>
          <w:b/>
          <w:bCs/>
          <w:iCs/>
        </w:rPr>
        <w:t>d</w:t>
      </w:r>
      <w:r w:rsidR="00144E15">
        <w:rPr>
          <w:b/>
          <w:bCs/>
          <w:iCs/>
        </w:rPr>
        <w:t xml:space="preserve"> to Physisorption</w:t>
      </w:r>
      <w:r w:rsidRPr="00516868">
        <w:rPr>
          <w:b/>
          <w:bCs/>
          <w:iCs/>
        </w:rPr>
        <w:t>:</w:t>
      </w:r>
      <w:bookmarkEnd w:id="18"/>
    </w:p>
    <w:p w14:paraId="5BF6806F" w14:textId="77777777" w:rsidR="00040CA9" w:rsidRDefault="00040CA9" w:rsidP="00543A53">
      <w:pPr>
        <w:pStyle w:val="NoSpacing"/>
        <w:rPr>
          <w:iCs/>
        </w:rPr>
      </w:pPr>
    </w:p>
    <w:p w14:paraId="02D0FFCC" w14:textId="26F1EBD9" w:rsidR="0048593B" w:rsidRDefault="0048593B" w:rsidP="0048593B">
      <w:pPr>
        <w:pStyle w:val="NoSpacing"/>
        <w:outlineLvl w:val="1"/>
        <w:rPr>
          <w:szCs w:val="24"/>
        </w:rPr>
      </w:pPr>
      <w:r>
        <w:rPr>
          <w:szCs w:val="24"/>
          <w:lang w:val="en-CA"/>
        </w:rPr>
        <w:fldChar w:fldCharType="begin"/>
      </w:r>
      <w:r>
        <w:rPr>
          <w:szCs w:val="24"/>
          <w:lang w:val="en-CA"/>
        </w:rPr>
        <w:instrText xml:space="preserve"> SEQ CHAPTER \h \r 1</w:instrText>
      </w:r>
      <w:r>
        <w:rPr>
          <w:szCs w:val="24"/>
          <w:lang w:val="en-CA"/>
        </w:rPr>
        <w:fldChar w:fldCharType="end"/>
      </w:r>
      <w:bookmarkStart w:id="19" w:name="_Toc171582130"/>
      <w:r>
        <w:rPr>
          <w:i/>
          <w:iCs/>
          <w:szCs w:val="24"/>
        </w:rPr>
        <w:t>A) The QM/ESW Equations</w:t>
      </w:r>
      <w:r>
        <w:rPr>
          <w:szCs w:val="24"/>
        </w:rPr>
        <w:t>:</w:t>
      </w:r>
      <w:bookmarkEnd w:id="19"/>
    </w:p>
    <w:p w14:paraId="312771C3" w14:textId="77777777" w:rsidR="0048593B" w:rsidRDefault="0048593B" w:rsidP="00543A53">
      <w:pPr>
        <w:pStyle w:val="NoSpacing"/>
        <w:rPr>
          <w:iCs/>
        </w:rPr>
      </w:pPr>
    </w:p>
    <w:p w14:paraId="156EBCF2" w14:textId="69DF3032" w:rsidR="00371151" w:rsidRDefault="00C22D84" w:rsidP="00543A53">
      <w:pPr>
        <w:pStyle w:val="NoSpacing"/>
        <w:rPr>
          <w:iCs/>
        </w:rPr>
      </w:pPr>
      <w:r>
        <w:rPr>
          <w:iCs/>
        </w:rPr>
        <w:t xml:space="preserve">Just presenting the data and the BET fit is not sufficient to make a judgement about the fit.  It needs to be compared to something.  The “Gold Standard” for simulation in chemistry is quantum mechanics and a technique often used is perturbation theory.  This technique is a very old method, used in mathematics </w:t>
      </w:r>
      <w:r w:rsidR="00B93579">
        <w:rPr>
          <w:iCs/>
        </w:rPr>
        <w:t xml:space="preserve">that precedes </w:t>
      </w:r>
      <w:r>
        <w:rPr>
          <w:iCs/>
        </w:rPr>
        <w:t>quantum mechanics</w:t>
      </w:r>
      <w:r w:rsidR="00B93579">
        <w:rPr>
          <w:iCs/>
        </w:rPr>
        <w:t>.</w:t>
      </w:r>
      <w:r>
        <w:rPr>
          <w:iCs/>
        </w:rPr>
        <w:t xml:space="preserve"> This technique is combined with statistical thermodynamic</w:t>
      </w:r>
      <w:r w:rsidR="003A6D87">
        <w:rPr>
          <w:iCs/>
        </w:rPr>
        <w:t>s</w:t>
      </w:r>
      <w:r w:rsidR="00371151">
        <w:rPr>
          <w:iCs/>
        </w:rPr>
        <w:t>, specifically the Grand Canonical Partition Function,</w:t>
      </w:r>
      <w:r>
        <w:rPr>
          <w:iCs/>
        </w:rPr>
        <w:t xml:space="preserve"> to yield the equation presented here.  </w:t>
      </w:r>
      <w:r w:rsidR="00445EB3">
        <w:rPr>
          <w:iCs/>
        </w:rPr>
        <w:fldChar w:fldCharType="begin"/>
      </w:r>
      <w:r w:rsidR="00445EB3">
        <w:rPr>
          <w:iCs/>
        </w:rPr>
        <w:instrText xml:space="preserve"> REF _Ref169163402 \h </w:instrText>
      </w:r>
      <w:r w:rsidR="00445EB3">
        <w:rPr>
          <w:iCs/>
        </w:rPr>
      </w:r>
      <w:r w:rsidR="00445EB3">
        <w:rPr>
          <w:iCs/>
        </w:rPr>
        <w:fldChar w:fldCharType="separate"/>
      </w:r>
      <w:r w:rsidR="00040CA9" w:rsidRPr="00445EB3">
        <w:rPr>
          <w:szCs w:val="24"/>
        </w:rPr>
        <w:t xml:space="preserve">Equation </w:t>
      </w:r>
      <w:r w:rsidR="00040CA9">
        <w:rPr>
          <w:noProof/>
          <w:szCs w:val="24"/>
        </w:rPr>
        <w:t>5</w:t>
      </w:r>
      <w:r w:rsidR="00445EB3">
        <w:rPr>
          <w:iCs/>
        </w:rPr>
        <w:fldChar w:fldCharType="end"/>
      </w:r>
      <w:r w:rsidR="00445EB3">
        <w:rPr>
          <w:iCs/>
        </w:rPr>
        <w:t xml:space="preserve"> is </w:t>
      </w:r>
      <w:r w:rsidR="004F5D65">
        <w:rPr>
          <w:iCs/>
        </w:rPr>
        <w:t>the QM</w:t>
      </w:r>
      <w:r w:rsidR="00167FBA">
        <w:rPr>
          <w:iCs/>
        </w:rPr>
        <w:t>/ESW</w:t>
      </w:r>
      <w:r w:rsidR="004F5D65">
        <w:rPr>
          <w:iCs/>
        </w:rPr>
        <w:t xml:space="preserve"> equation </w:t>
      </w:r>
      <w:r w:rsidR="00445EB3">
        <w:rPr>
          <w:iCs/>
        </w:rPr>
        <w:t>for</w:t>
      </w:r>
      <w:r w:rsidRPr="007328F4">
        <w:rPr>
          <w:iCs/>
        </w:rPr>
        <w:t xml:space="preserve"> continuous “multilayers</w:t>
      </w:r>
      <w:r w:rsidR="004F5D65">
        <w:rPr>
          <w:iCs/>
        </w:rPr>
        <w:t>.</w:t>
      </w:r>
      <w:r w:rsidRPr="007328F4">
        <w:rPr>
          <w:iCs/>
        </w:rPr>
        <w:t>”</w:t>
      </w:r>
    </w:p>
    <w:p w14:paraId="54535F56" w14:textId="77777777" w:rsidR="000E7F4A" w:rsidRPr="007328F4" w:rsidRDefault="000E7F4A" w:rsidP="00207831">
      <w:pPr>
        <w:pStyle w:val="NoSpacing"/>
        <w:jc w:val="center"/>
        <w:rPr>
          <w:iCs/>
        </w:rPr>
      </w:pPr>
    </w:p>
    <w:tbl>
      <w:tblPr>
        <w:tblStyle w:val="TableGrid"/>
        <w:tblW w:w="9090" w:type="dxa"/>
        <w:jc w:val="center"/>
        <w:tblLook w:val="04A0" w:firstRow="1" w:lastRow="0" w:firstColumn="1" w:lastColumn="0" w:noHBand="0" w:noVBand="1"/>
      </w:tblPr>
      <w:tblGrid>
        <w:gridCol w:w="9090"/>
      </w:tblGrid>
      <w:tr w:rsidR="00371151" w:rsidRPr="00995684" w14:paraId="12108830" w14:textId="77777777" w:rsidTr="000A1FAA">
        <w:trPr>
          <w:jc w:val="center"/>
        </w:trPr>
        <w:tc>
          <w:tcPr>
            <w:tcW w:w="9090" w:type="dxa"/>
          </w:tcPr>
          <w:p w14:paraId="12DE9AB2" w14:textId="5C91AE90" w:rsidR="00B448DD" w:rsidRDefault="00CD26F7" w:rsidP="00B448DD">
            <w:pPr>
              <w:pStyle w:val="NoSpacing"/>
              <w:keepNext/>
              <w:jc w:val="center"/>
            </w:pPr>
            <w:r w:rsidRPr="00D83F0C">
              <w:rPr>
                <w:position w:val="-50"/>
              </w:rPr>
              <w:object w:dxaOrig="8120" w:dyaOrig="1160" w14:anchorId="1638DF16">
                <v:shape id="_x0000_i1029" type="#_x0000_t75" style="width:311.65pt;height:45pt" o:ole="">
                  <v:imagedata r:id="rId16" o:title=""/>
                </v:shape>
                <o:OLEObject Type="Embed" ProgID="Equation.DSMT4" ShapeID="_x0000_i1029" DrawAspect="Content" ObjectID="_1782235232" r:id="rId17"/>
              </w:object>
            </w:r>
          </w:p>
          <w:p w14:paraId="6C29939B" w14:textId="70A64F91" w:rsidR="00371151" w:rsidRPr="00B448DD" w:rsidRDefault="00B448DD" w:rsidP="00B448DD">
            <w:pPr>
              <w:pStyle w:val="Caption"/>
              <w:jc w:val="center"/>
              <w:rPr>
                <w:b/>
                <w:bCs/>
                <w:i w:val="0"/>
                <w:iCs w:val="0"/>
                <w:sz w:val="24"/>
                <w:szCs w:val="24"/>
              </w:rPr>
            </w:pPr>
            <w:bookmarkStart w:id="20" w:name="_Ref169163402"/>
            <w:r w:rsidRPr="00445EB3">
              <w:rPr>
                <w:color w:val="auto"/>
                <w:sz w:val="24"/>
                <w:szCs w:val="24"/>
              </w:rPr>
              <w:t xml:space="preserve">Equation </w:t>
            </w:r>
            <w:r w:rsidRPr="00445EB3">
              <w:rPr>
                <w:color w:val="auto"/>
                <w:sz w:val="24"/>
                <w:szCs w:val="24"/>
              </w:rPr>
              <w:fldChar w:fldCharType="begin"/>
            </w:r>
            <w:r w:rsidRPr="00445EB3">
              <w:rPr>
                <w:color w:val="auto"/>
                <w:sz w:val="24"/>
                <w:szCs w:val="24"/>
              </w:rPr>
              <w:instrText xml:space="preserve"> SEQ Equation \* ARABIC </w:instrText>
            </w:r>
            <w:r w:rsidRPr="00445EB3">
              <w:rPr>
                <w:color w:val="auto"/>
                <w:sz w:val="24"/>
                <w:szCs w:val="24"/>
              </w:rPr>
              <w:fldChar w:fldCharType="separate"/>
            </w:r>
            <w:r w:rsidR="00040CA9">
              <w:rPr>
                <w:noProof/>
                <w:color w:val="auto"/>
                <w:sz w:val="24"/>
                <w:szCs w:val="24"/>
              </w:rPr>
              <w:t>5</w:t>
            </w:r>
            <w:r w:rsidRPr="00445EB3">
              <w:rPr>
                <w:color w:val="auto"/>
                <w:sz w:val="24"/>
                <w:szCs w:val="24"/>
              </w:rPr>
              <w:fldChar w:fldCharType="end"/>
            </w:r>
            <w:bookmarkStart w:id="21" w:name="_Ref159695089"/>
            <w:bookmarkEnd w:id="20"/>
            <w:r w:rsidR="00371151" w:rsidRPr="00B448DD">
              <w:rPr>
                <w:i w:val="0"/>
                <w:iCs w:val="0"/>
                <w:color w:val="auto"/>
                <w:sz w:val="24"/>
                <w:szCs w:val="24"/>
              </w:rPr>
              <w:t xml:space="preserve"> </w:t>
            </w:r>
            <w:r w:rsidR="00371151" w:rsidRPr="00445EB3">
              <w:rPr>
                <w:color w:val="auto"/>
                <w:sz w:val="24"/>
                <w:szCs w:val="24"/>
              </w:rPr>
              <w:t>The multilayer equation for physical adsorption from Quantum Mechanical Perturbation Theory and the Grand Canonical Partition Function</w:t>
            </w:r>
            <w:bookmarkEnd w:id="21"/>
          </w:p>
        </w:tc>
      </w:tr>
    </w:tbl>
    <w:p w14:paraId="42E9248E" w14:textId="5831A7DC" w:rsidR="000A1FAA" w:rsidRDefault="004905CD" w:rsidP="00543A53">
      <w:pPr>
        <w:pStyle w:val="NoSpacing"/>
        <w:rPr>
          <w:rFonts w:cs="Times New Roman"/>
        </w:rPr>
      </w:pPr>
      <w:r>
        <w:t>Notice that the lowest pressure for which there can be data for the isotherm is slightly above χ</w:t>
      </w:r>
      <w:r>
        <w:rPr>
          <w:rFonts w:cs="Times New Roman"/>
          <w:vertAlign w:val="subscript"/>
        </w:rPr>
        <w:t>ς.</w:t>
      </w:r>
      <w:r>
        <w:t xml:space="preserve"> </w:t>
      </w:r>
      <w:r w:rsidR="00B448DD">
        <w:t xml:space="preserve">The unit step function, </w:t>
      </w:r>
      <w:r w:rsidR="00B448DD">
        <w:rPr>
          <w:b/>
          <w:bCs/>
        </w:rPr>
        <w:t>U</w:t>
      </w:r>
      <w:r w:rsidR="00B448DD">
        <w:t xml:space="preserve">, is used to indicate that </w:t>
      </w:r>
      <w:r w:rsidR="00B448DD">
        <w:rPr>
          <w:rFonts w:cs="Times New Roman"/>
        </w:rPr>
        <w:t>Δ</w:t>
      </w:r>
      <w:r w:rsidR="00B448DD">
        <w:sym w:font="Symbol" w:char="F063"/>
      </w:r>
      <w:r w:rsidR="00B448DD">
        <w:t xml:space="preserve"> cannot be negative.  </w:t>
      </w:r>
      <w:r w:rsidR="00B448DD">
        <w:rPr>
          <w:i/>
          <w:iCs/>
        </w:rPr>
        <w:t>P</w:t>
      </w:r>
      <w:r w:rsidR="00CD26F7">
        <w:rPr>
          <w:rFonts w:cs="Times New Roman"/>
          <w:vertAlign w:val="subscript"/>
        </w:rPr>
        <w:t>ς</w:t>
      </w:r>
      <w:r>
        <w:t xml:space="preserve"> is referred to as the </w:t>
      </w:r>
      <w:r>
        <w:lastRenderedPageBreak/>
        <w:t xml:space="preserve">threshold pressure, </w:t>
      </w:r>
      <w:r w:rsidR="00CD26F7">
        <w:t xml:space="preserve">indicating </w:t>
      </w:r>
      <w:r>
        <w:t xml:space="preserve">the phase transition for the onset of the surface liquid phase.   </w:t>
      </w:r>
      <w:proofErr w:type="spellStart"/>
      <w:r w:rsidR="000A1FAA">
        <w:rPr>
          <w:rFonts w:cs="Times New Roman"/>
        </w:rPr>
        <w:t>Δ</w:t>
      </w:r>
      <w:r w:rsidR="000A1FAA" w:rsidRPr="00244A17">
        <w:rPr>
          <w:rFonts w:cs="Times New Roman"/>
          <w:i/>
          <w:iCs/>
          <w:vertAlign w:val="subscript"/>
        </w:rPr>
        <w:t>l</w:t>
      </w:r>
      <w:r w:rsidR="000A1FAA" w:rsidRPr="00244A17">
        <w:rPr>
          <w:rFonts w:cs="Times New Roman"/>
          <w:i/>
          <w:iCs/>
          <w:vertAlign w:val="superscript"/>
        </w:rPr>
        <w:t>a</w:t>
      </w:r>
      <w:r w:rsidR="000A1FAA" w:rsidRPr="00244A17">
        <w:rPr>
          <w:rFonts w:cs="Times New Roman"/>
          <w:b/>
          <w:bCs/>
        </w:rPr>
        <w:t>Ē</w:t>
      </w:r>
      <w:proofErr w:type="spellEnd"/>
      <w:r w:rsidR="000A1FAA">
        <w:rPr>
          <w:rFonts w:cs="Times New Roman"/>
        </w:rPr>
        <w:t xml:space="preserve"> is the </w:t>
      </w:r>
      <w:r w:rsidR="002C19B1">
        <w:rPr>
          <w:rFonts w:cs="Times New Roman"/>
        </w:rPr>
        <w:t>molar</w:t>
      </w:r>
      <w:r w:rsidR="002C19B1">
        <w:rPr>
          <w:rStyle w:val="FootnoteReference"/>
          <w:rFonts w:cs="Times New Roman"/>
        </w:rPr>
        <w:footnoteReference w:id="9"/>
      </w:r>
      <w:r w:rsidR="002C19B1">
        <w:rPr>
          <w:rFonts w:cs="Times New Roman"/>
        </w:rPr>
        <w:t xml:space="preserve"> </w:t>
      </w:r>
      <w:r w:rsidR="000A1FAA">
        <w:rPr>
          <w:rFonts w:cs="Times New Roman"/>
        </w:rPr>
        <w:t>change in the internal energy function going from the liquid state (</w:t>
      </w:r>
      <w:r w:rsidR="000A1FAA">
        <w:rPr>
          <w:rFonts w:cs="Times New Roman"/>
          <w:i/>
          <w:iCs/>
        </w:rPr>
        <w:t>l</w:t>
      </w:r>
      <w:r w:rsidR="000A1FAA">
        <w:rPr>
          <w:rFonts w:cs="Times New Roman"/>
        </w:rPr>
        <w:t>) to the adsorbed state (</w:t>
      </w:r>
      <w:r w:rsidR="000A1FAA" w:rsidRPr="00C20611">
        <w:rPr>
          <w:rFonts w:cs="Times New Roman"/>
        </w:rPr>
        <w:t>a</w:t>
      </w:r>
      <w:r w:rsidR="000A1FAA">
        <w:rPr>
          <w:rFonts w:cs="Times New Roman"/>
        </w:rPr>
        <w:t xml:space="preserve">.)  Thus, </w:t>
      </w:r>
      <w:r w:rsidR="000A1FAA">
        <w:rPr>
          <w:rFonts w:cs="Times New Roman"/>
          <w:i/>
          <w:iCs/>
        </w:rPr>
        <w:t>E</w:t>
      </w:r>
      <w:r w:rsidR="000A1FAA">
        <w:rPr>
          <w:rFonts w:cs="Times New Roman"/>
          <w:vertAlign w:val="subscript"/>
        </w:rPr>
        <w:t>a</w:t>
      </w:r>
      <w:r w:rsidR="000A1FAA">
        <w:rPr>
          <w:rFonts w:cs="Times New Roman"/>
        </w:rPr>
        <w:t xml:space="preserve"> &lt; 0 (exothermic.)</w:t>
      </w:r>
      <w:r w:rsidR="000A1FAA">
        <w:rPr>
          <w:rStyle w:val="FootnoteReference"/>
          <w:rFonts w:cs="Times New Roman"/>
        </w:rPr>
        <w:footnoteReference w:id="10"/>
      </w:r>
      <w:r w:rsidR="00E151A4">
        <w:rPr>
          <w:rFonts w:cs="Times New Roman"/>
        </w:rPr>
        <w:t xml:space="preserve"> </w:t>
      </w:r>
      <w:r w:rsidR="004F5D65">
        <w:rPr>
          <w:rFonts w:cs="Times New Roman"/>
        </w:rPr>
        <w:t xml:space="preserve">seen in </w:t>
      </w:r>
      <w:r w:rsidR="004F5D65" w:rsidRPr="004F5D65">
        <w:rPr>
          <w:rFonts w:cs="Times New Roman"/>
          <w:i/>
          <w:iCs/>
        </w:rPr>
        <w:fldChar w:fldCharType="begin"/>
      </w:r>
      <w:r w:rsidR="004F5D65" w:rsidRPr="004F5D65">
        <w:rPr>
          <w:rFonts w:cs="Times New Roman"/>
          <w:i/>
          <w:iCs/>
        </w:rPr>
        <w:instrText xml:space="preserve"> REF _Ref169163889 \h </w:instrText>
      </w:r>
      <w:r w:rsidR="004F5D65">
        <w:rPr>
          <w:rFonts w:cs="Times New Roman"/>
          <w:i/>
          <w:iCs/>
        </w:rPr>
        <w:instrText xml:space="preserve"> \* MERGEFORMAT </w:instrText>
      </w:r>
      <w:r w:rsidR="004F5D65" w:rsidRPr="004F5D65">
        <w:rPr>
          <w:rFonts w:cs="Times New Roman"/>
          <w:i/>
          <w:iCs/>
        </w:rPr>
      </w:r>
      <w:r w:rsidR="004F5D65" w:rsidRPr="004F5D65">
        <w:rPr>
          <w:rFonts w:cs="Times New Roman"/>
          <w:i/>
          <w:iCs/>
        </w:rPr>
        <w:fldChar w:fldCharType="separate"/>
      </w:r>
      <w:r w:rsidR="00040CA9" w:rsidRPr="00040CA9">
        <w:rPr>
          <w:i/>
          <w:iCs/>
          <w:szCs w:val="24"/>
        </w:rPr>
        <w:t xml:space="preserve">Equation </w:t>
      </w:r>
      <w:r w:rsidR="00040CA9" w:rsidRPr="00040CA9">
        <w:rPr>
          <w:i/>
          <w:iCs/>
          <w:noProof/>
          <w:szCs w:val="24"/>
        </w:rPr>
        <w:t>6</w:t>
      </w:r>
      <w:r w:rsidR="004F5D65" w:rsidRPr="004F5D65">
        <w:rPr>
          <w:rFonts w:cs="Times New Roman"/>
          <w:i/>
          <w:iCs/>
        </w:rPr>
        <w:fldChar w:fldCharType="end"/>
      </w:r>
      <w:r w:rsidR="004F5D65" w:rsidRPr="004F5D65">
        <w:rPr>
          <w:rFonts w:cs="Times New Roman"/>
          <w:i/>
          <w:iCs/>
        </w:rPr>
        <w:t>.</w:t>
      </w:r>
    </w:p>
    <w:p w14:paraId="052C4085" w14:textId="77777777" w:rsidR="00516868" w:rsidRDefault="00516868" w:rsidP="00543A53">
      <w:pPr>
        <w:pStyle w:val="NoSpacing"/>
      </w:pPr>
    </w:p>
    <w:tbl>
      <w:tblPr>
        <w:tblStyle w:val="TableGrid"/>
        <w:tblW w:w="9090" w:type="dxa"/>
        <w:tblLook w:val="04A0" w:firstRow="1" w:lastRow="0" w:firstColumn="1" w:lastColumn="0" w:noHBand="0" w:noVBand="1"/>
      </w:tblPr>
      <w:tblGrid>
        <w:gridCol w:w="9090"/>
      </w:tblGrid>
      <w:tr w:rsidR="00EB4C99" w14:paraId="06BCCCBE" w14:textId="77777777" w:rsidTr="000A1FAA">
        <w:tc>
          <w:tcPr>
            <w:tcW w:w="9090" w:type="dxa"/>
          </w:tcPr>
          <w:p w14:paraId="0336A79F" w14:textId="76C12EA8" w:rsidR="00445EB3" w:rsidRDefault="00445EB3" w:rsidP="00445EB3">
            <w:pPr>
              <w:pStyle w:val="NoSpacing"/>
              <w:keepNext/>
              <w:jc w:val="center"/>
            </w:pPr>
            <w:r w:rsidRPr="00D83F0C">
              <w:rPr>
                <w:position w:val="-44"/>
              </w:rPr>
              <w:object w:dxaOrig="6940" w:dyaOrig="1040" w14:anchorId="23546386">
                <v:shape id="_x0000_i1030" type="#_x0000_t75" style="width:281.65pt;height:42.4pt" o:ole="">
                  <v:imagedata r:id="rId18" o:title=""/>
                </v:shape>
                <o:OLEObject Type="Embed" ProgID="Equation.DSMT4" ShapeID="_x0000_i1030" DrawAspect="Content" ObjectID="_1782235233" r:id="rId19"/>
              </w:object>
            </w:r>
          </w:p>
          <w:p w14:paraId="47043046" w14:textId="7B44EF81" w:rsidR="00EB4C99" w:rsidRPr="00445EB3" w:rsidRDefault="00445EB3" w:rsidP="00445EB3">
            <w:pPr>
              <w:pStyle w:val="Caption"/>
              <w:jc w:val="center"/>
              <w:rPr>
                <w:rFonts w:cs="Times New Roman"/>
                <w:i w:val="0"/>
                <w:iCs w:val="0"/>
                <w:sz w:val="24"/>
                <w:szCs w:val="24"/>
              </w:rPr>
            </w:pPr>
            <w:bookmarkStart w:id="22" w:name="_Ref169163889"/>
            <w:r w:rsidRPr="00445EB3">
              <w:rPr>
                <w:color w:val="auto"/>
                <w:sz w:val="24"/>
                <w:szCs w:val="24"/>
              </w:rPr>
              <w:t xml:space="preserve">Equation </w:t>
            </w:r>
            <w:r w:rsidRPr="00445EB3">
              <w:rPr>
                <w:color w:val="auto"/>
                <w:sz w:val="24"/>
                <w:szCs w:val="24"/>
              </w:rPr>
              <w:fldChar w:fldCharType="begin"/>
            </w:r>
            <w:r w:rsidRPr="00445EB3">
              <w:rPr>
                <w:color w:val="auto"/>
                <w:sz w:val="24"/>
                <w:szCs w:val="24"/>
              </w:rPr>
              <w:instrText xml:space="preserve"> SEQ Equation \* ARABIC </w:instrText>
            </w:r>
            <w:r w:rsidRPr="00445EB3">
              <w:rPr>
                <w:color w:val="auto"/>
                <w:sz w:val="24"/>
                <w:szCs w:val="24"/>
              </w:rPr>
              <w:fldChar w:fldCharType="separate"/>
            </w:r>
            <w:r w:rsidR="00040CA9">
              <w:rPr>
                <w:noProof/>
                <w:color w:val="auto"/>
                <w:sz w:val="24"/>
                <w:szCs w:val="24"/>
              </w:rPr>
              <w:t>6</w:t>
            </w:r>
            <w:r w:rsidRPr="00445EB3">
              <w:rPr>
                <w:color w:val="auto"/>
                <w:sz w:val="24"/>
                <w:szCs w:val="24"/>
              </w:rPr>
              <w:fldChar w:fldCharType="end"/>
            </w:r>
            <w:bookmarkEnd w:id="22"/>
            <w:r w:rsidR="00EB4C99" w:rsidRPr="00445EB3">
              <w:rPr>
                <w:color w:val="auto"/>
                <w:sz w:val="24"/>
                <w:szCs w:val="24"/>
              </w:rPr>
              <w:t xml:space="preserve"> The thermodynamic energy function for adsorption for homogeneous, non-porous adsorbent.  The standard state is the adsorptive liquid at the temperature of the adsorben</w:t>
            </w:r>
            <w:r w:rsidR="00EB4C99" w:rsidRPr="00445EB3">
              <w:rPr>
                <w:i w:val="0"/>
                <w:iCs w:val="0"/>
                <w:color w:val="auto"/>
                <w:sz w:val="24"/>
                <w:szCs w:val="24"/>
              </w:rPr>
              <w:t>t</w:t>
            </w:r>
          </w:p>
        </w:tc>
      </w:tr>
    </w:tbl>
    <w:p w14:paraId="14074A4D" w14:textId="77777777" w:rsidR="00516868" w:rsidRDefault="00516868" w:rsidP="00543A53">
      <w:pPr>
        <w:pStyle w:val="NoSpacing"/>
        <w:rPr>
          <w:iCs/>
        </w:rPr>
      </w:pPr>
    </w:p>
    <w:p w14:paraId="7A8629AF" w14:textId="4381A365" w:rsidR="00381E5F" w:rsidRPr="00381E5F" w:rsidRDefault="00C17081" w:rsidP="00543A53">
      <w:pPr>
        <w:pStyle w:val="NoSpacing"/>
        <w:rPr>
          <w:b/>
          <w:bCs/>
          <w:iCs/>
        </w:rPr>
      </w:pPr>
      <w:r>
        <w:rPr>
          <w:iCs/>
        </w:rPr>
        <w:t xml:space="preserve">Where </w:t>
      </w:r>
      <w:r>
        <w:rPr>
          <w:i/>
        </w:rPr>
        <w:t>T</w:t>
      </w:r>
      <w:r>
        <w:rPr>
          <w:iCs/>
        </w:rPr>
        <w:t xml:space="preserve"> is the temperature of the adsorbent.</w:t>
      </w:r>
      <w:r w:rsidR="00A2182E">
        <w:rPr>
          <w:iCs/>
        </w:rPr>
        <w:t xml:space="preserve">  The value </w:t>
      </w:r>
      <w:proofErr w:type="spellStart"/>
      <w:r w:rsidR="00A2182E">
        <w:rPr>
          <w:rFonts w:cs="Times New Roman"/>
          <w:iCs/>
        </w:rPr>
        <w:t>Δ</w:t>
      </w:r>
      <w:r w:rsidR="00A2182E">
        <w:rPr>
          <w:iCs/>
          <w:vertAlign w:val="subscript"/>
        </w:rPr>
        <w:t>l</w:t>
      </w:r>
      <w:r w:rsidR="00A2182E">
        <w:rPr>
          <w:iCs/>
          <w:vertAlign w:val="superscript"/>
        </w:rPr>
        <w:t>a</w:t>
      </w:r>
      <w:r w:rsidR="00A2182E">
        <w:rPr>
          <w:b/>
          <w:bCs/>
          <w:iCs/>
        </w:rPr>
        <w:t>E</w:t>
      </w:r>
      <w:proofErr w:type="spellEnd"/>
      <w:r w:rsidR="00A2182E">
        <w:rPr>
          <w:iCs/>
        </w:rPr>
        <w:t xml:space="preserve"> is the energy function of the transition from the liquid to the adsorbed state.  On the other </w:t>
      </w:r>
      <w:proofErr w:type="gramStart"/>
      <w:r w:rsidR="00A2182E">
        <w:rPr>
          <w:iCs/>
        </w:rPr>
        <w:t>hand</w:t>
      </w:r>
      <w:proofErr w:type="gramEnd"/>
      <w:r w:rsidR="00A2182E">
        <w:rPr>
          <w:iCs/>
        </w:rPr>
        <w:t xml:space="preserve"> </w:t>
      </w:r>
      <w:proofErr w:type="spellStart"/>
      <w:r w:rsidR="00A2182E">
        <w:rPr>
          <w:rFonts w:cs="Times New Roman"/>
          <w:iCs/>
        </w:rPr>
        <w:t>Δ</w:t>
      </w:r>
      <w:r w:rsidR="00A2182E">
        <w:rPr>
          <w:rFonts w:cs="Times New Roman"/>
          <w:iCs/>
          <w:vertAlign w:val="subscript"/>
        </w:rPr>
        <w:t>g</w:t>
      </w:r>
      <w:r w:rsidR="00A2182E">
        <w:rPr>
          <w:iCs/>
          <w:vertAlign w:val="superscript"/>
        </w:rPr>
        <w:t>a</w:t>
      </w:r>
      <w:r w:rsidR="00A2182E">
        <w:rPr>
          <w:b/>
          <w:bCs/>
          <w:iCs/>
        </w:rPr>
        <w:t>E</w:t>
      </w:r>
      <w:proofErr w:type="spellEnd"/>
      <w:r w:rsidR="00A2182E">
        <w:rPr>
          <w:b/>
          <w:bCs/>
          <w:iCs/>
        </w:rPr>
        <w:t xml:space="preserve"> = </w:t>
      </w:r>
      <w:proofErr w:type="spellStart"/>
      <w:r w:rsidR="00A2182E">
        <w:rPr>
          <w:rFonts w:cs="Times New Roman"/>
          <w:iCs/>
        </w:rPr>
        <w:t>Δ</w:t>
      </w:r>
      <w:r w:rsidR="00A2182E">
        <w:rPr>
          <w:iCs/>
          <w:vertAlign w:val="subscript"/>
        </w:rPr>
        <w:t>l</w:t>
      </w:r>
      <w:r w:rsidR="00A2182E">
        <w:rPr>
          <w:iCs/>
          <w:vertAlign w:val="superscript"/>
        </w:rPr>
        <w:t>a</w:t>
      </w:r>
      <w:r w:rsidR="00A2182E">
        <w:rPr>
          <w:b/>
          <w:bCs/>
          <w:iCs/>
        </w:rPr>
        <w:t>E</w:t>
      </w:r>
      <w:proofErr w:type="spellEnd"/>
      <w:r w:rsidR="00A2182E">
        <w:rPr>
          <w:b/>
          <w:bCs/>
          <w:iCs/>
        </w:rPr>
        <w:t xml:space="preserve"> + </w:t>
      </w:r>
      <w:proofErr w:type="spellStart"/>
      <w:r w:rsidR="00A2182E">
        <w:rPr>
          <w:rFonts w:cs="Times New Roman"/>
          <w:iCs/>
        </w:rPr>
        <w:t>Δ</w:t>
      </w:r>
      <w:r w:rsidR="00A2182E">
        <w:rPr>
          <w:iCs/>
          <w:vertAlign w:val="subscript"/>
        </w:rPr>
        <w:t>g</w:t>
      </w:r>
      <w:r w:rsidR="00A2182E">
        <w:rPr>
          <w:iCs/>
          <w:vertAlign w:val="superscript"/>
        </w:rPr>
        <w:t>l</w:t>
      </w:r>
      <w:r w:rsidR="00A2182E">
        <w:rPr>
          <w:b/>
          <w:bCs/>
          <w:iCs/>
        </w:rPr>
        <w:t>E</w:t>
      </w:r>
      <w:proofErr w:type="spellEnd"/>
      <w:r w:rsidR="008601B8" w:rsidRPr="008601B8">
        <w:rPr>
          <w:iCs/>
        </w:rPr>
        <w:t>,</w:t>
      </w:r>
      <w:r w:rsidR="008601B8">
        <w:rPr>
          <w:iCs/>
        </w:rPr>
        <w:t xml:space="preserve"> </w:t>
      </w:r>
      <w:r w:rsidR="008601B8" w:rsidRPr="008601B8">
        <w:rPr>
          <w:iCs/>
        </w:rPr>
        <w:t>where</w:t>
      </w:r>
      <w:r w:rsidR="008601B8">
        <w:rPr>
          <w:b/>
          <w:bCs/>
          <w:iCs/>
        </w:rPr>
        <w:t xml:space="preserve"> </w:t>
      </w:r>
      <w:proofErr w:type="spellStart"/>
      <w:r w:rsidR="008601B8">
        <w:rPr>
          <w:rFonts w:cs="Times New Roman"/>
          <w:iCs/>
        </w:rPr>
        <w:t>Δ</w:t>
      </w:r>
      <w:r w:rsidR="008601B8">
        <w:rPr>
          <w:iCs/>
          <w:vertAlign w:val="subscript"/>
        </w:rPr>
        <w:t>g</w:t>
      </w:r>
      <w:r w:rsidR="008601B8">
        <w:rPr>
          <w:iCs/>
          <w:vertAlign w:val="superscript"/>
        </w:rPr>
        <w:t>l</w:t>
      </w:r>
      <w:r w:rsidR="008601B8">
        <w:rPr>
          <w:b/>
          <w:bCs/>
          <w:iCs/>
        </w:rPr>
        <w:t>E</w:t>
      </w:r>
      <w:proofErr w:type="spellEnd"/>
      <w:r w:rsidR="008601B8" w:rsidRPr="00A2182E">
        <w:rPr>
          <w:iCs/>
        </w:rPr>
        <w:t xml:space="preserve"> is the </w:t>
      </w:r>
      <w:r w:rsidR="00A2182E" w:rsidRPr="00A2182E">
        <w:rPr>
          <w:iCs/>
        </w:rPr>
        <w:t>c</w:t>
      </w:r>
      <w:r w:rsidR="00A2182E">
        <w:rPr>
          <w:iCs/>
        </w:rPr>
        <w:t xml:space="preserve">alorimetric </w:t>
      </w:r>
      <w:r w:rsidR="0077755A">
        <w:rPr>
          <w:iCs/>
        </w:rPr>
        <w:t xml:space="preserve">internal </w:t>
      </w:r>
      <w:r w:rsidR="00A2182E">
        <w:rPr>
          <w:iCs/>
        </w:rPr>
        <w:t>energy function</w:t>
      </w:r>
      <w:r w:rsidR="008601B8">
        <w:rPr>
          <w:iCs/>
        </w:rPr>
        <w:t xml:space="preserve"> </w:t>
      </w:r>
      <w:r w:rsidR="00381E5F">
        <w:rPr>
          <w:iCs/>
        </w:rPr>
        <w:t>reference</w:t>
      </w:r>
      <w:r w:rsidR="008601B8">
        <w:rPr>
          <w:iCs/>
        </w:rPr>
        <w:t>d</w:t>
      </w:r>
      <w:r w:rsidR="00381E5F">
        <w:rPr>
          <w:iCs/>
        </w:rPr>
        <w:t xml:space="preserve"> to 1 bar pressure</w:t>
      </w:r>
      <w:r w:rsidR="008601B8">
        <w:rPr>
          <w:iCs/>
        </w:rPr>
        <w:t xml:space="preserve">. (Sometimes </w:t>
      </w:r>
      <w:r w:rsidR="00CD26F7">
        <w:rPr>
          <w:iCs/>
        </w:rPr>
        <w:t xml:space="preserve">a superscript </w:t>
      </w:r>
      <w:r w:rsidR="008601B8">
        <w:rPr>
          <w:iCs/>
        </w:rPr>
        <w:t xml:space="preserve">plimsoll symbol, </w:t>
      </w:r>
      <w:r w:rsidR="008601B8" w:rsidRPr="00CD26F7">
        <w:rPr>
          <w:rFonts w:ascii="Cambria Math" w:hAnsi="Cambria Math"/>
          <w:iCs/>
          <w:vertAlign w:val="superscript"/>
        </w:rPr>
        <w:t>⦵</w:t>
      </w:r>
      <w:r w:rsidR="008601B8">
        <w:rPr>
          <w:iCs/>
        </w:rPr>
        <w:t>, is used for this.</w:t>
      </w:r>
      <w:r w:rsidR="00886EBE">
        <w:rPr>
          <w:iCs/>
        </w:rPr>
        <w:t>)</w:t>
      </w:r>
    </w:p>
    <w:p w14:paraId="5E2CE6C0" w14:textId="77777777" w:rsidR="00C0730F" w:rsidRDefault="00C0730F" w:rsidP="00543A53">
      <w:pPr>
        <w:pStyle w:val="NoSpacing"/>
        <w:rPr>
          <w:iCs/>
        </w:rPr>
      </w:pPr>
    </w:p>
    <w:p w14:paraId="7B9D2B0A" w14:textId="110970E3" w:rsidR="007C778E" w:rsidRDefault="007C778E" w:rsidP="00543A53">
      <w:pPr>
        <w:pStyle w:val="NoSpacing"/>
        <w:rPr>
          <w:iCs/>
        </w:rPr>
      </w:pPr>
      <w:r>
        <w:rPr>
          <w:iCs/>
        </w:rPr>
        <w:t>These equations can be derived by another modern theoretical development, the Excess Surface Work theory</w:t>
      </w:r>
      <w:r w:rsidR="00040D55">
        <w:rPr>
          <w:iCs/>
        </w:rPr>
        <w:t xml:space="preserve"> (ESW)</w:t>
      </w:r>
      <w:r>
        <w:rPr>
          <w:iCs/>
        </w:rPr>
        <w:t xml:space="preserve"> by Adolphs</w:t>
      </w:r>
      <w:r w:rsidR="00853CB9">
        <w:rPr>
          <w:iCs/>
        </w:rPr>
        <w:fldChar w:fldCharType="begin"/>
      </w:r>
      <w:r w:rsidR="00853CB9">
        <w:rPr>
          <w:iCs/>
        </w:rPr>
        <w:instrText xml:space="preserve"> NOTEREF _Ref170987446 \f \h </w:instrText>
      </w:r>
      <w:r w:rsidR="00853CB9">
        <w:rPr>
          <w:iCs/>
        </w:rPr>
      </w:r>
      <w:r w:rsidR="00853CB9">
        <w:rPr>
          <w:iCs/>
        </w:rPr>
        <w:fldChar w:fldCharType="separate"/>
      </w:r>
      <w:r w:rsidR="00853CB9" w:rsidRPr="00853CB9">
        <w:rPr>
          <w:rStyle w:val="EndnoteReference"/>
        </w:rPr>
        <w:t>20</w:t>
      </w:r>
      <w:r w:rsidR="00853CB9">
        <w:rPr>
          <w:iCs/>
        </w:rPr>
        <w:fldChar w:fldCharType="end"/>
      </w:r>
      <w:r w:rsidR="00F24157" w:rsidRPr="00B033B0">
        <w:rPr>
          <w:iCs/>
          <w:vertAlign w:val="superscript"/>
        </w:rPr>
        <w:t>,</w:t>
      </w:r>
      <w:r w:rsidR="00853CB9">
        <w:rPr>
          <w:iCs/>
          <w:vertAlign w:val="superscript"/>
        </w:rPr>
        <w:fldChar w:fldCharType="begin"/>
      </w:r>
      <w:r w:rsidR="00853CB9">
        <w:rPr>
          <w:iCs/>
          <w:vertAlign w:val="superscript"/>
        </w:rPr>
        <w:instrText xml:space="preserve"> NOTEREF _Ref170987595 \f \h </w:instrText>
      </w:r>
      <w:r w:rsidR="00853CB9">
        <w:rPr>
          <w:iCs/>
          <w:vertAlign w:val="superscript"/>
        </w:rPr>
      </w:r>
      <w:r w:rsidR="00853CB9">
        <w:rPr>
          <w:iCs/>
          <w:vertAlign w:val="superscript"/>
        </w:rPr>
        <w:fldChar w:fldCharType="separate"/>
      </w:r>
      <w:r w:rsidR="00853CB9" w:rsidRPr="00853CB9">
        <w:rPr>
          <w:rStyle w:val="EndnoteReference"/>
        </w:rPr>
        <w:t>21</w:t>
      </w:r>
      <w:r w:rsidR="00853CB9">
        <w:rPr>
          <w:iCs/>
          <w:vertAlign w:val="superscript"/>
        </w:rPr>
        <w:fldChar w:fldCharType="end"/>
      </w:r>
      <w:r w:rsidR="00853CB9" w:rsidRPr="00B033B0">
        <w:rPr>
          <w:iCs/>
          <w:vertAlign w:val="superscript"/>
        </w:rPr>
        <w:t>,</w:t>
      </w:r>
      <w:r w:rsidR="00853CB9">
        <w:rPr>
          <w:iCs/>
          <w:vertAlign w:val="superscript"/>
        </w:rPr>
        <w:fldChar w:fldCharType="begin"/>
      </w:r>
      <w:r w:rsidR="00853CB9">
        <w:rPr>
          <w:iCs/>
          <w:vertAlign w:val="superscript"/>
        </w:rPr>
        <w:instrText xml:space="preserve"> NOTEREF _Ref170987600 \f \h </w:instrText>
      </w:r>
      <w:r w:rsidR="00853CB9">
        <w:rPr>
          <w:iCs/>
          <w:vertAlign w:val="superscript"/>
        </w:rPr>
      </w:r>
      <w:r w:rsidR="00853CB9">
        <w:rPr>
          <w:iCs/>
          <w:vertAlign w:val="superscript"/>
        </w:rPr>
        <w:fldChar w:fldCharType="separate"/>
      </w:r>
      <w:r w:rsidR="00853CB9" w:rsidRPr="00853CB9">
        <w:rPr>
          <w:rStyle w:val="EndnoteReference"/>
        </w:rPr>
        <w:t>22</w:t>
      </w:r>
      <w:r w:rsidR="00853CB9">
        <w:rPr>
          <w:iCs/>
          <w:vertAlign w:val="superscript"/>
        </w:rPr>
        <w:fldChar w:fldCharType="end"/>
      </w:r>
      <w:r w:rsidR="00853CB9" w:rsidRPr="00B033B0">
        <w:rPr>
          <w:iCs/>
          <w:vertAlign w:val="superscript"/>
        </w:rPr>
        <w:t>,</w:t>
      </w:r>
      <w:r w:rsidR="00F24157">
        <w:rPr>
          <w:rStyle w:val="EndnoteReference"/>
          <w:iCs/>
        </w:rPr>
        <w:endnoteReference w:id="28"/>
      </w:r>
      <w:r w:rsidR="00B033B0" w:rsidRPr="00B033B0">
        <w:rPr>
          <w:iCs/>
          <w:vertAlign w:val="superscript"/>
        </w:rPr>
        <w:t>,</w:t>
      </w:r>
      <w:r w:rsidR="00F24157">
        <w:rPr>
          <w:rStyle w:val="EndnoteReference"/>
          <w:iCs/>
        </w:rPr>
        <w:endnoteReference w:id="29"/>
      </w:r>
      <w:r>
        <w:rPr>
          <w:iCs/>
        </w:rPr>
        <w:t>, et al.  This approach</w:t>
      </w:r>
      <w:r w:rsidR="0077755A">
        <w:rPr>
          <w:iCs/>
        </w:rPr>
        <w:t xml:space="preserve"> </w:t>
      </w:r>
      <w:r>
        <w:rPr>
          <w:iCs/>
        </w:rPr>
        <w:t xml:space="preserve">uses the concept of disjoining pressure </w:t>
      </w:r>
      <w:r w:rsidR="00AC6F33">
        <w:rPr>
          <w:iCs/>
        </w:rPr>
        <w:t xml:space="preserve">combined with classical thermodynamics to arrive at the same conclusion.  </w:t>
      </w:r>
      <w:r w:rsidR="00040D55">
        <w:rPr>
          <w:iCs/>
        </w:rPr>
        <w:t>The Polanyi</w:t>
      </w:r>
      <w:r w:rsidR="002B5EAC">
        <w:rPr>
          <w:iCs/>
        </w:rPr>
        <w:t>-Fuller</w:t>
      </w:r>
      <w:r w:rsidR="00040D55">
        <w:rPr>
          <w:iCs/>
        </w:rPr>
        <w:t xml:space="preserve"> exponential decay of </w:t>
      </w:r>
      <w:proofErr w:type="spellStart"/>
      <w:r w:rsidR="00040D55">
        <w:rPr>
          <w:iCs/>
        </w:rPr>
        <w:t>Δ</w:t>
      </w:r>
      <w:r w:rsidR="00040D55">
        <w:rPr>
          <w:iCs/>
          <w:vertAlign w:val="subscript"/>
        </w:rPr>
        <w:t>l</w:t>
      </w:r>
      <w:r w:rsidR="00040D55">
        <w:rPr>
          <w:iCs/>
          <w:vertAlign w:val="superscript"/>
        </w:rPr>
        <w:t>a</w:t>
      </w:r>
      <w:r w:rsidR="00040D55" w:rsidRPr="00040D55">
        <w:rPr>
          <w:b/>
          <w:bCs/>
          <w:iCs/>
        </w:rPr>
        <w:t>E</w:t>
      </w:r>
      <w:proofErr w:type="spellEnd"/>
      <w:r w:rsidR="00040D55">
        <w:t>, the Dubinin “thermodynamic criterion,” and the assumption that the ESW m</w:t>
      </w:r>
      <w:r w:rsidR="00CD26F7">
        <w:t>ax</w:t>
      </w:r>
      <w:r w:rsidR="00040D55">
        <w:t>imum is at one monolayer equivalent</w:t>
      </w:r>
      <w:r w:rsidR="008601B8">
        <w:t xml:space="preserve">, which </w:t>
      </w:r>
      <w:r w:rsidR="00040D55">
        <w:t xml:space="preserve">justifies the match with the </w:t>
      </w:r>
      <w:r w:rsidR="004F5D65">
        <w:t>QM</w:t>
      </w:r>
      <w:r w:rsidR="00167FBA">
        <w:rPr>
          <w:iCs/>
        </w:rPr>
        <w:t>/ESW</w:t>
      </w:r>
      <w:r w:rsidR="004F5D65">
        <w:t xml:space="preserve"> </w:t>
      </w:r>
      <w:r w:rsidR="004F5D65" w:rsidRPr="004F5D65">
        <w:rPr>
          <w:i/>
          <w:iCs/>
        </w:rPr>
        <w:fldChar w:fldCharType="begin"/>
      </w:r>
      <w:r w:rsidR="004F5D65" w:rsidRPr="004F5D65">
        <w:rPr>
          <w:i/>
          <w:iCs/>
        </w:rPr>
        <w:instrText xml:space="preserve"> REF _Ref169163402 \h </w:instrText>
      </w:r>
      <w:r w:rsidR="004F5D65">
        <w:rPr>
          <w:i/>
          <w:iCs/>
        </w:rPr>
        <w:instrText xml:space="preserve"> \* MERGEFORMAT </w:instrText>
      </w:r>
      <w:r w:rsidR="004F5D65" w:rsidRPr="004F5D65">
        <w:rPr>
          <w:i/>
          <w:iCs/>
        </w:rPr>
      </w:r>
      <w:r w:rsidR="004F5D65" w:rsidRPr="004F5D65">
        <w:rPr>
          <w:i/>
          <w:iCs/>
        </w:rPr>
        <w:fldChar w:fldCharType="separate"/>
      </w:r>
      <w:r w:rsidR="00040CA9" w:rsidRPr="00040CA9">
        <w:rPr>
          <w:i/>
          <w:iCs/>
          <w:szCs w:val="24"/>
        </w:rPr>
        <w:t xml:space="preserve">Equation </w:t>
      </w:r>
      <w:r w:rsidR="00040CA9" w:rsidRPr="00040CA9">
        <w:rPr>
          <w:i/>
          <w:iCs/>
          <w:noProof/>
          <w:szCs w:val="24"/>
        </w:rPr>
        <w:t>5</w:t>
      </w:r>
      <w:r w:rsidR="004F5D65" w:rsidRPr="004F5D65">
        <w:rPr>
          <w:i/>
          <w:iCs/>
        </w:rPr>
        <w:fldChar w:fldCharType="end"/>
      </w:r>
      <w:r w:rsidR="00040D55">
        <w:t xml:space="preserve">.  </w:t>
      </w:r>
      <w:r w:rsidR="00AC6F33">
        <w:rPr>
          <w:iCs/>
        </w:rPr>
        <w:t>The two developments were formulate</w:t>
      </w:r>
      <w:r w:rsidR="00516868">
        <w:rPr>
          <w:iCs/>
        </w:rPr>
        <w:t>d</w:t>
      </w:r>
      <w:r w:rsidR="00AC6F33">
        <w:rPr>
          <w:iCs/>
        </w:rPr>
        <w:t xml:space="preserve"> independently </w:t>
      </w:r>
      <w:r w:rsidR="00E63250">
        <w:rPr>
          <w:iCs/>
        </w:rPr>
        <w:t xml:space="preserve">in the 1980s without communication between the two </w:t>
      </w:r>
      <w:r w:rsidR="00040D55">
        <w:rPr>
          <w:iCs/>
        </w:rPr>
        <w:t xml:space="preserve">research </w:t>
      </w:r>
      <w:r w:rsidR="00E63250">
        <w:rPr>
          <w:iCs/>
        </w:rPr>
        <w:t>groups</w:t>
      </w:r>
      <w:r w:rsidR="00040D55">
        <w:rPr>
          <w:iCs/>
        </w:rPr>
        <w:t xml:space="preserve">, </w:t>
      </w:r>
      <w:r w:rsidR="008601B8">
        <w:rPr>
          <w:iCs/>
        </w:rPr>
        <w:t xml:space="preserve">thus, </w:t>
      </w:r>
      <w:r w:rsidR="00040D55">
        <w:rPr>
          <w:iCs/>
        </w:rPr>
        <w:t>lending mutual support.</w:t>
      </w:r>
    </w:p>
    <w:p w14:paraId="57890FEC" w14:textId="77777777" w:rsidR="007C778E" w:rsidRPr="00C17081" w:rsidRDefault="007C778E" w:rsidP="00543A53">
      <w:pPr>
        <w:pStyle w:val="NoSpacing"/>
        <w:rPr>
          <w:iCs/>
        </w:rPr>
      </w:pPr>
    </w:p>
    <w:p w14:paraId="4034C326" w14:textId="01AE91B8" w:rsidR="003A6D87" w:rsidRDefault="00371151" w:rsidP="003A6D87">
      <w:pPr>
        <w:pStyle w:val="NoSpacing"/>
        <w:rPr>
          <w:i/>
        </w:rPr>
      </w:pPr>
      <w:r>
        <w:rPr>
          <w:iCs/>
        </w:rPr>
        <w:t xml:space="preserve">In the application of the Grand Canonical Partition Function, the concept of “layer density” is </w:t>
      </w:r>
      <w:r w:rsidR="00C45EAD">
        <w:rPr>
          <w:iCs/>
        </w:rPr>
        <w:t>derived</w:t>
      </w:r>
      <w:r>
        <w:rPr>
          <w:iCs/>
        </w:rPr>
        <w:t>.</w:t>
      </w:r>
      <w:r w:rsidR="000E7F4A">
        <w:rPr>
          <w:iCs/>
        </w:rPr>
        <w:t xml:space="preserve"> </w:t>
      </w:r>
      <w:r w:rsidR="00C45EAD">
        <w:rPr>
          <w:iCs/>
        </w:rPr>
        <w:t xml:space="preserve"> </w:t>
      </w:r>
      <w:r w:rsidR="000E7F4A">
        <w:rPr>
          <w:iCs/>
        </w:rPr>
        <w:t>These equations are shown in</w:t>
      </w:r>
      <w:r w:rsidR="000E23C7">
        <w:rPr>
          <w:iCs/>
        </w:rPr>
        <w:t xml:space="preserve"> </w:t>
      </w:r>
      <w:r w:rsidR="000E23C7" w:rsidRPr="000E23C7">
        <w:rPr>
          <w:i/>
        </w:rPr>
        <w:fldChar w:fldCharType="begin"/>
      </w:r>
      <w:r w:rsidR="000E23C7" w:rsidRPr="000E23C7">
        <w:rPr>
          <w:i/>
        </w:rPr>
        <w:instrText xml:space="preserve"> REF _Ref169164956 \h </w:instrText>
      </w:r>
      <w:r w:rsidR="000E23C7">
        <w:rPr>
          <w:i/>
        </w:rPr>
        <w:instrText xml:space="preserve"> \* MERGEFORMAT </w:instrText>
      </w:r>
      <w:r w:rsidR="000E23C7" w:rsidRPr="000E23C7">
        <w:rPr>
          <w:i/>
        </w:rPr>
      </w:r>
      <w:r w:rsidR="000E23C7" w:rsidRPr="000E23C7">
        <w:rPr>
          <w:i/>
        </w:rPr>
        <w:fldChar w:fldCharType="separate"/>
      </w:r>
      <w:r w:rsidR="00040CA9" w:rsidRPr="00040CA9">
        <w:rPr>
          <w:i/>
          <w:szCs w:val="24"/>
        </w:rPr>
        <w:t xml:space="preserve">Equation </w:t>
      </w:r>
      <w:r w:rsidR="00040CA9" w:rsidRPr="00040CA9">
        <w:rPr>
          <w:i/>
          <w:noProof/>
          <w:szCs w:val="24"/>
        </w:rPr>
        <w:t>7</w:t>
      </w:r>
      <w:r w:rsidR="000E23C7" w:rsidRPr="000E23C7">
        <w:rPr>
          <w:i/>
        </w:rPr>
        <w:fldChar w:fldCharType="end"/>
      </w:r>
      <w:r w:rsidR="003A6D87">
        <w:rPr>
          <w:i/>
        </w:rPr>
        <w:t>.</w:t>
      </w:r>
    </w:p>
    <w:p w14:paraId="2BDBE0EC" w14:textId="77777777" w:rsidR="003A6D87" w:rsidRDefault="003A6D87" w:rsidP="003A6D87">
      <w:pPr>
        <w:pStyle w:val="NoSpacing"/>
        <w:rPr>
          <w:iCs/>
        </w:rPr>
      </w:pPr>
    </w:p>
    <w:tbl>
      <w:tblPr>
        <w:tblStyle w:val="TableGrid"/>
        <w:tblW w:w="9355" w:type="dxa"/>
        <w:tblLook w:val="04A0" w:firstRow="1" w:lastRow="0" w:firstColumn="1" w:lastColumn="0" w:noHBand="0" w:noVBand="1"/>
      </w:tblPr>
      <w:tblGrid>
        <w:gridCol w:w="9355"/>
      </w:tblGrid>
      <w:tr w:rsidR="00240852" w14:paraId="4DC18122" w14:textId="77777777" w:rsidTr="00240852">
        <w:trPr>
          <w:trHeight w:val="3113"/>
        </w:trPr>
        <w:tc>
          <w:tcPr>
            <w:tcW w:w="9355" w:type="dxa"/>
          </w:tcPr>
          <w:p w14:paraId="38CC00C7" w14:textId="07509F30" w:rsidR="005F197D" w:rsidRDefault="00E22CB9" w:rsidP="005F197D">
            <w:pPr>
              <w:pStyle w:val="NoSpacing"/>
              <w:keepNext/>
              <w:jc w:val="center"/>
            </w:pPr>
            <w:r w:rsidRPr="00D83F0C">
              <w:rPr>
                <w:position w:val="-204"/>
              </w:rPr>
              <w:object w:dxaOrig="3640" w:dyaOrig="3440" w14:anchorId="1FCCDE5C">
                <v:shape id="_x0000_i1031" type="#_x0000_t75" style="width:135.4pt;height:127.5pt" o:ole="">
                  <v:imagedata r:id="rId20" o:title=""/>
                </v:shape>
                <o:OLEObject Type="Embed" ProgID="Equation.DSMT4" ShapeID="_x0000_i1031" DrawAspect="Content" ObjectID="_1782235234" r:id="rId21"/>
              </w:object>
            </w:r>
          </w:p>
          <w:p w14:paraId="30873323" w14:textId="26F275AA" w:rsidR="00240852" w:rsidRPr="00C20611" w:rsidRDefault="005F197D" w:rsidP="005F197D">
            <w:pPr>
              <w:pStyle w:val="Caption"/>
              <w:jc w:val="center"/>
              <w:rPr>
                <w:iCs w:val="0"/>
                <w:sz w:val="24"/>
                <w:szCs w:val="24"/>
              </w:rPr>
            </w:pPr>
            <w:bookmarkStart w:id="24" w:name="_Ref169164956"/>
            <w:r w:rsidRPr="00853CB9">
              <w:rPr>
                <w:color w:val="000000" w:themeColor="text1"/>
                <w:sz w:val="24"/>
                <w:szCs w:val="24"/>
              </w:rPr>
              <w:t xml:space="preserve">Equation </w:t>
            </w:r>
            <w:r w:rsidRPr="00853CB9">
              <w:rPr>
                <w:color w:val="000000" w:themeColor="text1"/>
                <w:sz w:val="24"/>
                <w:szCs w:val="24"/>
              </w:rPr>
              <w:fldChar w:fldCharType="begin"/>
            </w:r>
            <w:r w:rsidRPr="00853CB9">
              <w:rPr>
                <w:color w:val="000000" w:themeColor="text1"/>
                <w:sz w:val="24"/>
                <w:szCs w:val="24"/>
              </w:rPr>
              <w:instrText xml:space="preserve"> SEQ Equation \* ARABIC </w:instrText>
            </w:r>
            <w:r w:rsidRPr="00853CB9">
              <w:rPr>
                <w:color w:val="000000" w:themeColor="text1"/>
                <w:sz w:val="24"/>
                <w:szCs w:val="24"/>
              </w:rPr>
              <w:fldChar w:fldCharType="separate"/>
            </w:r>
            <w:r w:rsidR="00040CA9" w:rsidRPr="00853CB9">
              <w:rPr>
                <w:noProof/>
                <w:color w:val="000000" w:themeColor="text1"/>
                <w:sz w:val="24"/>
                <w:szCs w:val="24"/>
              </w:rPr>
              <w:t>7</w:t>
            </w:r>
            <w:r w:rsidRPr="00853CB9">
              <w:rPr>
                <w:color w:val="000000" w:themeColor="text1"/>
                <w:sz w:val="24"/>
                <w:szCs w:val="24"/>
              </w:rPr>
              <w:fldChar w:fldCharType="end"/>
            </w:r>
            <w:bookmarkEnd w:id="24"/>
            <w:r w:rsidRPr="00853CB9">
              <w:rPr>
                <w:color w:val="000000" w:themeColor="text1"/>
                <w:sz w:val="24"/>
                <w:szCs w:val="24"/>
              </w:rPr>
              <w:t xml:space="preserve"> </w:t>
            </w:r>
            <w:r w:rsidR="00240852" w:rsidRPr="00853CB9">
              <w:rPr>
                <w:color w:val="000000" w:themeColor="text1"/>
                <w:sz w:val="24"/>
                <w:szCs w:val="24"/>
              </w:rPr>
              <w:t>The equations for the QM “layering.”</w:t>
            </w:r>
          </w:p>
        </w:tc>
      </w:tr>
    </w:tbl>
    <w:p w14:paraId="097489FF" w14:textId="20E588E8" w:rsidR="001E7C28" w:rsidRDefault="001E7C28" w:rsidP="00543A53">
      <w:pPr>
        <w:pStyle w:val="NoSpacing"/>
        <w:rPr>
          <w:i/>
        </w:rPr>
      </w:pPr>
    </w:p>
    <w:p w14:paraId="1383DC45" w14:textId="5BC2C1F6" w:rsidR="00C22D84" w:rsidRPr="00C22D84" w:rsidRDefault="00CA7DD8" w:rsidP="00543A53">
      <w:pPr>
        <w:pStyle w:val="NoSpacing"/>
        <w:rPr>
          <w:iCs/>
        </w:rPr>
      </w:pPr>
      <w:r>
        <w:rPr>
          <w:iCs/>
        </w:rPr>
        <w:lastRenderedPageBreak/>
        <w:t xml:space="preserve">The subscripts on the </w:t>
      </w:r>
      <w:r>
        <w:rPr>
          <w:rFonts w:cs="Times New Roman"/>
          <w:iCs/>
        </w:rPr>
        <w:t>θ</w:t>
      </w:r>
      <w:r>
        <w:rPr>
          <w:iCs/>
        </w:rPr>
        <w:t>s designate the position of the “layers.”</w:t>
      </w:r>
      <w:r>
        <w:rPr>
          <w:rStyle w:val="FootnoteReference"/>
          <w:iCs/>
        </w:rPr>
        <w:footnoteReference w:id="11"/>
      </w:r>
      <w:r w:rsidR="00040D55">
        <w:rPr>
          <w:iCs/>
        </w:rPr>
        <w:t xml:space="preserve"> The last equation after “</w:t>
      </w:r>
      <w:r w:rsidR="00E22CB9">
        <w:rPr>
          <w:iCs/>
        </w:rPr>
        <w:sym w:font="Symbol" w:char="F0DE"/>
      </w:r>
      <w:r w:rsidR="00040D55">
        <w:rPr>
          <w:iCs/>
        </w:rPr>
        <w:t>” is derivable.</w:t>
      </w:r>
    </w:p>
    <w:p w14:paraId="44A5F5DE" w14:textId="77777777" w:rsidR="00C22D84" w:rsidRDefault="00C22D84" w:rsidP="00543A53">
      <w:pPr>
        <w:pStyle w:val="NoSpacing"/>
        <w:rPr>
          <w:iCs/>
        </w:rPr>
      </w:pPr>
    </w:p>
    <w:p w14:paraId="2DD62555" w14:textId="6A0AD8FD" w:rsidR="00240852" w:rsidRPr="00C17081" w:rsidRDefault="00C17081" w:rsidP="00543A53">
      <w:pPr>
        <w:pStyle w:val="NoSpacing"/>
        <w:rPr>
          <w:iCs/>
        </w:rPr>
      </w:pPr>
      <w:r>
        <w:rPr>
          <w:iCs/>
        </w:rPr>
        <w:t xml:space="preserve">The equation for </w:t>
      </w:r>
      <w:r>
        <w:rPr>
          <w:rFonts w:cs="Times New Roman"/>
          <w:iCs/>
        </w:rPr>
        <w:t>θ</w:t>
      </w:r>
      <w:r>
        <w:rPr>
          <w:iCs/>
          <w:vertAlign w:val="subscript"/>
        </w:rPr>
        <w:t>1</w:t>
      </w:r>
      <w:r>
        <w:rPr>
          <w:iCs/>
        </w:rPr>
        <w:t xml:space="preserve"> can be rearrange</w:t>
      </w:r>
      <w:r w:rsidR="00C20611">
        <w:rPr>
          <w:iCs/>
        </w:rPr>
        <w:t>d</w:t>
      </w:r>
      <w:r>
        <w:rPr>
          <w:iCs/>
        </w:rPr>
        <w:t xml:space="preserve"> to yield the “log-law</w:t>
      </w:r>
      <w:r w:rsidR="00942798">
        <w:rPr>
          <w:iCs/>
        </w:rPr>
        <w:t>,</w:t>
      </w:r>
      <w:r>
        <w:rPr>
          <w:iCs/>
        </w:rPr>
        <w:t>”</w:t>
      </w:r>
      <w:r w:rsidR="00942798">
        <w:rPr>
          <w:iCs/>
        </w:rPr>
        <w:t xml:space="preserve"> </w:t>
      </w:r>
      <w:r w:rsidR="00942798" w:rsidRPr="00942798">
        <w:rPr>
          <w:i/>
        </w:rPr>
        <w:fldChar w:fldCharType="begin"/>
      </w:r>
      <w:r w:rsidR="00942798" w:rsidRPr="00942798">
        <w:rPr>
          <w:i/>
        </w:rPr>
        <w:instrText xml:space="preserve"> REF _Ref169165296 \h </w:instrText>
      </w:r>
      <w:r w:rsidR="00942798">
        <w:rPr>
          <w:i/>
        </w:rPr>
        <w:instrText xml:space="preserve"> \* MERGEFORMAT </w:instrText>
      </w:r>
      <w:r w:rsidR="00942798" w:rsidRPr="00942798">
        <w:rPr>
          <w:i/>
        </w:rPr>
      </w:r>
      <w:r w:rsidR="00942798" w:rsidRPr="00942798">
        <w:rPr>
          <w:i/>
        </w:rPr>
        <w:fldChar w:fldCharType="separate"/>
      </w:r>
      <w:r w:rsidR="00040CA9" w:rsidRPr="00040CA9">
        <w:rPr>
          <w:i/>
          <w:szCs w:val="24"/>
        </w:rPr>
        <w:t xml:space="preserve">Equation </w:t>
      </w:r>
      <w:r w:rsidR="00040CA9" w:rsidRPr="00040CA9">
        <w:rPr>
          <w:i/>
          <w:noProof/>
          <w:szCs w:val="24"/>
        </w:rPr>
        <w:t>8</w:t>
      </w:r>
      <w:r w:rsidR="00942798" w:rsidRPr="00942798">
        <w:rPr>
          <w:i/>
        </w:rPr>
        <w:fldChar w:fldCharType="end"/>
      </w:r>
      <w:r w:rsidR="00942798">
        <w:rPr>
          <w:iCs/>
        </w:rPr>
        <w:t>,</w:t>
      </w:r>
      <w:r>
        <w:rPr>
          <w:iCs/>
        </w:rPr>
        <w:t xml:space="preserve"> which is commonly observed for some isotherms.</w:t>
      </w:r>
      <w:r w:rsidR="004819BC">
        <w:rPr>
          <w:iCs/>
        </w:rPr>
        <w:t xml:space="preserve">  This indicates a </w:t>
      </w:r>
      <w:r w:rsidR="00E7725D">
        <w:rPr>
          <w:iCs/>
        </w:rPr>
        <w:t xml:space="preserve">steric </w:t>
      </w:r>
      <w:r w:rsidR="004819BC">
        <w:rPr>
          <w:iCs/>
        </w:rPr>
        <w:t xml:space="preserve">restriction to </w:t>
      </w:r>
      <w:r w:rsidR="00E7725D">
        <w:rPr>
          <w:iCs/>
        </w:rPr>
        <w:t>single</w:t>
      </w:r>
      <w:r w:rsidR="004819BC">
        <w:rPr>
          <w:iCs/>
        </w:rPr>
        <w:t xml:space="preserve"> monolayer coverage.</w:t>
      </w:r>
    </w:p>
    <w:tbl>
      <w:tblPr>
        <w:tblStyle w:val="TableGrid"/>
        <w:tblW w:w="0" w:type="auto"/>
        <w:tblLook w:val="04A0" w:firstRow="1" w:lastRow="0" w:firstColumn="1" w:lastColumn="0" w:noHBand="0" w:noVBand="1"/>
      </w:tblPr>
      <w:tblGrid>
        <w:gridCol w:w="9350"/>
      </w:tblGrid>
      <w:tr w:rsidR="00240852" w14:paraId="553CF0DB" w14:textId="77777777" w:rsidTr="00240852">
        <w:tc>
          <w:tcPr>
            <w:tcW w:w="9350" w:type="dxa"/>
          </w:tcPr>
          <w:p w14:paraId="07F0D668" w14:textId="7420088B" w:rsidR="00942798" w:rsidRDefault="00E7725D" w:rsidP="00942798">
            <w:pPr>
              <w:pStyle w:val="NoSpacing"/>
              <w:keepNext/>
              <w:jc w:val="center"/>
            </w:pPr>
            <w:r w:rsidRPr="00D83F0C">
              <w:rPr>
                <w:position w:val="-44"/>
              </w:rPr>
              <w:object w:dxaOrig="2680" w:dyaOrig="1040" w14:anchorId="0365F833">
                <v:shape id="_x0000_i1032" type="#_x0000_t75" style="width:108pt;height:42.4pt" o:ole="">
                  <v:imagedata r:id="rId22" o:title=""/>
                </v:shape>
                <o:OLEObject Type="Embed" ProgID="Equation.DSMT4" ShapeID="_x0000_i1032" DrawAspect="Content" ObjectID="_1782235235" r:id="rId23"/>
              </w:object>
            </w:r>
          </w:p>
          <w:p w14:paraId="70E9D27D" w14:textId="16217590" w:rsidR="00240852" w:rsidRPr="00C20611" w:rsidRDefault="00942798" w:rsidP="00942798">
            <w:pPr>
              <w:pStyle w:val="Caption"/>
              <w:jc w:val="center"/>
              <w:rPr>
                <w:iCs w:val="0"/>
                <w:sz w:val="24"/>
                <w:szCs w:val="24"/>
              </w:rPr>
            </w:pPr>
            <w:bookmarkStart w:id="25" w:name="_Ref169165296"/>
            <w:r w:rsidRPr="00853CB9">
              <w:rPr>
                <w:color w:val="000000" w:themeColor="text1"/>
                <w:sz w:val="24"/>
                <w:szCs w:val="24"/>
              </w:rPr>
              <w:t xml:space="preserve">Equation </w:t>
            </w:r>
            <w:r w:rsidRPr="00853CB9">
              <w:rPr>
                <w:color w:val="000000" w:themeColor="text1"/>
                <w:sz w:val="24"/>
                <w:szCs w:val="24"/>
              </w:rPr>
              <w:fldChar w:fldCharType="begin"/>
            </w:r>
            <w:r w:rsidRPr="00853CB9">
              <w:rPr>
                <w:color w:val="000000" w:themeColor="text1"/>
                <w:sz w:val="24"/>
                <w:szCs w:val="24"/>
              </w:rPr>
              <w:instrText xml:space="preserve"> SEQ Equation \* ARABIC </w:instrText>
            </w:r>
            <w:r w:rsidRPr="00853CB9">
              <w:rPr>
                <w:color w:val="000000" w:themeColor="text1"/>
                <w:sz w:val="24"/>
                <w:szCs w:val="24"/>
              </w:rPr>
              <w:fldChar w:fldCharType="separate"/>
            </w:r>
            <w:r w:rsidR="00040CA9" w:rsidRPr="00853CB9">
              <w:rPr>
                <w:noProof/>
                <w:color w:val="000000" w:themeColor="text1"/>
                <w:sz w:val="24"/>
                <w:szCs w:val="24"/>
              </w:rPr>
              <w:t>8</w:t>
            </w:r>
            <w:r w:rsidRPr="00853CB9">
              <w:rPr>
                <w:color w:val="000000" w:themeColor="text1"/>
                <w:sz w:val="24"/>
                <w:szCs w:val="24"/>
              </w:rPr>
              <w:fldChar w:fldCharType="end"/>
            </w:r>
            <w:bookmarkEnd w:id="25"/>
            <w:r w:rsidR="00C20611" w:rsidRPr="00853CB9">
              <w:rPr>
                <w:color w:val="000000" w:themeColor="text1"/>
                <w:sz w:val="24"/>
                <w:szCs w:val="24"/>
              </w:rPr>
              <w:t xml:space="preserve"> </w:t>
            </w:r>
            <w:r w:rsidR="00013E7E" w:rsidRPr="00853CB9">
              <w:rPr>
                <w:color w:val="000000" w:themeColor="text1"/>
                <w:sz w:val="24"/>
                <w:szCs w:val="24"/>
              </w:rPr>
              <w:t>The “log-law.”</w:t>
            </w:r>
            <w:r w:rsidR="00013E7E" w:rsidRPr="00853CB9">
              <w:rPr>
                <w:noProof/>
                <w:color w:val="000000" w:themeColor="text1"/>
                <w:sz w:val="24"/>
                <w:szCs w:val="24"/>
              </w:rPr>
              <w:t xml:space="preserve"> from the QM "layering" eqautions.</w:t>
            </w:r>
          </w:p>
        </w:tc>
      </w:tr>
    </w:tbl>
    <w:p w14:paraId="1DF0EDAF" w14:textId="77777777" w:rsidR="00C17081" w:rsidRPr="00C17081" w:rsidRDefault="00C17081" w:rsidP="00543A53">
      <w:pPr>
        <w:pStyle w:val="NoSpacing"/>
        <w:rPr>
          <w:iCs/>
        </w:rPr>
      </w:pPr>
    </w:p>
    <w:p w14:paraId="3EDB0A2C" w14:textId="595E7B78" w:rsidR="00013E7E" w:rsidRDefault="00013E7E" w:rsidP="00543A53">
      <w:pPr>
        <w:pStyle w:val="NoSpacing"/>
        <w:rPr>
          <w:iCs/>
        </w:rPr>
      </w:pPr>
      <w:r>
        <w:rPr>
          <w:iCs/>
        </w:rPr>
        <w:t>With this background, test</w:t>
      </w:r>
      <w:r w:rsidR="00273A9A">
        <w:rPr>
          <w:iCs/>
        </w:rPr>
        <w:t>s</w:t>
      </w:r>
      <w:r>
        <w:rPr>
          <w:iCs/>
        </w:rPr>
        <w:t xml:space="preserve"> </w:t>
      </w:r>
      <w:r w:rsidR="00273A9A">
        <w:rPr>
          <w:iCs/>
        </w:rPr>
        <w:t xml:space="preserve">of the </w:t>
      </w:r>
      <w:r>
        <w:rPr>
          <w:iCs/>
        </w:rPr>
        <w:t>BET against the quantum mechanical calculations</w:t>
      </w:r>
      <w:r w:rsidR="00273A9A">
        <w:rPr>
          <w:iCs/>
        </w:rPr>
        <w:t xml:space="preserve"> is appropriate for comparison</w:t>
      </w:r>
      <w:r>
        <w:rPr>
          <w:iCs/>
        </w:rPr>
        <w:t>.</w:t>
      </w:r>
    </w:p>
    <w:p w14:paraId="74220B47" w14:textId="77777777" w:rsidR="003F25A0" w:rsidRDefault="003F25A0" w:rsidP="00543A53">
      <w:pPr>
        <w:pStyle w:val="NoSpacing"/>
        <w:rPr>
          <w:iCs/>
        </w:rPr>
      </w:pPr>
    </w:p>
    <w:p w14:paraId="14C8AC4D" w14:textId="323C652B" w:rsidR="00EF14C6" w:rsidRPr="00853CB9" w:rsidRDefault="00853CB9" w:rsidP="00326DA4">
      <w:pPr>
        <w:pStyle w:val="NoSpacing"/>
        <w:outlineLvl w:val="1"/>
        <w:rPr>
          <w:i/>
        </w:rPr>
      </w:pPr>
      <w:bookmarkStart w:id="26" w:name="_Toc171582131"/>
      <w:r w:rsidRPr="00853CB9">
        <w:rPr>
          <w:i/>
        </w:rPr>
        <w:t xml:space="preserve">B) </w:t>
      </w:r>
      <w:r w:rsidR="00326DA4">
        <w:rPr>
          <w:i/>
        </w:rPr>
        <w:t>Statistical D</w:t>
      </w:r>
      <w:r w:rsidR="006A44D1" w:rsidRPr="00853CB9">
        <w:rPr>
          <w:i/>
        </w:rPr>
        <w:t>emonstration of QM</w:t>
      </w:r>
      <w:r w:rsidR="00167FBA">
        <w:rPr>
          <w:iCs/>
        </w:rPr>
        <w:t>/</w:t>
      </w:r>
      <w:r w:rsidR="00167FBA" w:rsidRPr="00167FBA">
        <w:rPr>
          <w:i/>
        </w:rPr>
        <w:t>ESW</w:t>
      </w:r>
      <w:r w:rsidR="006A44D1" w:rsidRPr="00853CB9">
        <w:rPr>
          <w:i/>
        </w:rPr>
        <w:t xml:space="preserve"> versus BET </w:t>
      </w:r>
      <w:r w:rsidR="00EF14C6" w:rsidRPr="00853CB9">
        <w:rPr>
          <w:i/>
        </w:rPr>
        <w:t xml:space="preserve">for </w:t>
      </w:r>
      <w:r w:rsidR="00326DA4">
        <w:rPr>
          <w:i/>
        </w:rPr>
        <w:t>P</w:t>
      </w:r>
      <w:r w:rsidR="00EF14C6" w:rsidRPr="00853CB9">
        <w:rPr>
          <w:i/>
        </w:rPr>
        <w:t>hysisorption</w:t>
      </w:r>
      <w:r w:rsidR="006A44D1" w:rsidRPr="00853CB9">
        <w:rPr>
          <w:i/>
        </w:rPr>
        <w:t>:</w:t>
      </w:r>
      <w:bookmarkEnd w:id="26"/>
    </w:p>
    <w:p w14:paraId="0C1DCD30" w14:textId="77777777" w:rsidR="00EF14C6" w:rsidRDefault="00EF14C6" w:rsidP="00543A53">
      <w:pPr>
        <w:pStyle w:val="NoSpacing"/>
        <w:rPr>
          <w:iCs/>
        </w:rPr>
      </w:pPr>
    </w:p>
    <w:p w14:paraId="5917A611" w14:textId="69139692" w:rsidR="00C22D84" w:rsidRDefault="00C22D84" w:rsidP="00326DA4">
      <w:pPr>
        <w:pStyle w:val="NoSpacing"/>
        <w:outlineLvl w:val="2"/>
        <w:rPr>
          <w:i/>
          <w:iCs/>
        </w:rPr>
      </w:pPr>
      <w:bookmarkStart w:id="27" w:name="_Toc171582132"/>
      <w:r w:rsidRPr="00A51D05">
        <w:rPr>
          <w:i/>
          <w:iCs/>
        </w:rPr>
        <w:t xml:space="preserve">Example </w:t>
      </w:r>
      <w:r w:rsidR="00303F70">
        <w:rPr>
          <w:i/>
          <w:iCs/>
        </w:rPr>
        <w:t>1</w:t>
      </w:r>
      <w:r w:rsidRPr="00A51D05">
        <w:rPr>
          <w:i/>
          <w:iCs/>
        </w:rPr>
        <w:t>) Data by Krug, Jaroniec and Olivier</w:t>
      </w:r>
      <w:r w:rsidRPr="00A51D05">
        <w:rPr>
          <w:rStyle w:val="EndnoteReference"/>
          <w:i/>
          <w:iCs/>
        </w:rPr>
        <w:endnoteReference w:id="30"/>
      </w:r>
      <w:r w:rsidRPr="00A51D05">
        <w:rPr>
          <w:i/>
          <w:iCs/>
        </w:rPr>
        <w:t>:</w:t>
      </w:r>
      <w:bookmarkEnd w:id="27"/>
    </w:p>
    <w:p w14:paraId="41625611" w14:textId="77777777" w:rsidR="007D4CFE" w:rsidRPr="00A51D05" w:rsidRDefault="007D4CFE" w:rsidP="00543A53">
      <w:pPr>
        <w:pStyle w:val="NoSpacing"/>
        <w:rPr>
          <w:i/>
          <w:iCs/>
        </w:rPr>
      </w:pPr>
    </w:p>
    <w:p w14:paraId="7B4ABD01" w14:textId="32E9F4A8" w:rsidR="00C22D84" w:rsidRDefault="00C22D84" w:rsidP="00543A53">
      <w:pPr>
        <w:pStyle w:val="NoSpacing"/>
      </w:pPr>
      <w:r>
        <w:t xml:space="preserve">Probably the best performed experiment to determine a standard curve was conducted by </w:t>
      </w:r>
      <w:r w:rsidRPr="006E3E57">
        <w:t>Krug, Jaroniec</w:t>
      </w:r>
      <w:r>
        <w:t xml:space="preserve"> and</w:t>
      </w:r>
      <w:r w:rsidRPr="006E3E57">
        <w:t xml:space="preserve"> Olivier</w:t>
      </w:r>
      <w:r>
        <w:t xml:space="preserve"> (KJO.)</w:t>
      </w:r>
      <w:r w:rsidR="000F5F31">
        <w:t xml:space="preserve"> with </w:t>
      </w:r>
      <w:r w:rsidR="000F5F31" w:rsidRPr="000F5F31">
        <w:t>N</w:t>
      </w:r>
      <w:r w:rsidR="000F5F31">
        <w:rPr>
          <w:vertAlign w:val="subscript"/>
        </w:rPr>
        <w:t>2</w:t>
      </w:r>
      <w:r w:rsidR="000F5F31" w:rsidRPr="000F5F31">
        <w:t xml:space="preserve"> </w:t>
      </w:r>
      <w:r w:rsidR="000F5F31">
        <w:t>adsorption on</w:t>
      </w:r>
      <w:r w:rsidR="000F5F31" w:rsidRPr="000F5F31">
        <w:t xml:space="preserve"> LiChrospher Si-1000 Silica</w:t>
      </w:r>
      <w:r w:rsidR="000F5F31">
        <w:t xml:space="preserve">.  </w:t>
      </w:r>
      <w:r>
        <w:t xml:space="preserve">The silica sample was apparently very pure with little heterogeneity.  The calculated </w:t>
      </w:r>
      <w:r w:rsidR="008601B8">
        <w:t>heterogeneity for the e</w:t>
      </w:r>
      <w:r>
        <w:t xml:space="preserve">nergy distribution, </w:t>
      </w:r>
      <w:r w:rsidR="00E7725D">
        <w:t>&lt;</w:t>
      </w:r>
      <w:r w:rsidRPr="00E7725D">
        <w:rPr>
          <w:i/>
          <w:iCs/>
        </w:rPr>
        <w:t>E</w:t>
      </w:r>
      <w:r w:rsidR="00E7725D">
        <w:rPr>
          <w:vertAlign w:val="subscript"/>
        </w:rPr>
        <w:t>a</w:t>
      </w:r>
      <w:r w:rsidR="00E7725D">
        <w:t>&gt;,</w:t>
      </w:r>
      <w:r>
        <w:t xml:space="preserve"> </w:t>
      </w:r>
      <w:r w:rsidR="004B4418">
        <w:t>i</w:t>
      </w:r>
      <w:r>
        <w:t xml:space="preserve">s </w:t>
      </w:r>
      <w:r w:rsidR="00E63250">
        <w:t>64</w:t>
      </w:r>
      <w:r w:rsidR="000E23C7">
        <w:t>0 </w:t>
      </w:r>
      <w:r>
        <w:t>J</w:t>
      </w:r>
      <w:r w:rsidR="000E23C7">
        <w:t> </w:t>
      </w:r>
      <w:r>
        <w:t>mol</w:t>
      </w:r>
      <w:r>
        <w:rPr>
          <w:vertAlign w:val="superscript"/>
        </w:rPr>
        <w:t>-1</w:t>
      </w:r>
      <w:r>
        <w:t xml:space="preserve"> out of</w:t>
      </w:r>
      <w:r w:rsidR="00FA5F48">
        <w:t xml:space="preserve"> </w:t>
      </w:r>
      <w:r>
        <w:t>8.84 kJ mol</w:t>
      </w:r>
      <w:r>
        <w:rPr>
          <w:vertAlign w:val="superscript"/>
        </w:rPr>
        <w:t>-1</w:t>
      </w:r>
      <w:r>
        <w:t xml:space="preserve"> total </w:t>
      </w:r>
      <w:r w:rsidR="00FA5F48">
        <w:t xml:space="preserve">value of </w:t>
      </w:r>
      <w:r w:rsidR="00FA5F48">
        <w:rPr>
          <w:i/>
          <w:iCs/>
        </w:rPr>
        <w:t>E</w:t>
      </w:r>
      <w:r w:rsidR="00FA5F48" w:rsidRPr="00FA5F48">
        <w:rPr>
          <w:vertAlign w:val="subscript"/>
        </w:rPr>
        <w:t>a</w:t>
      </w:r>
      <w:r>
        <w:t xml:space="preserve">.  Although this may seem like a </w:t>
      </w:r>
      <w:r w:rsidR="00CA7DD8">
        <w:t>big uncertainty,</w:t>
      </w:r>
      <w:r>
        <w:t xml:space="preserve"> it really is not as the following graphs will illustrate.</w:t>
      </w:r>
    </w:p>
    <w:p w14:paraId="6804466A" w14:textId="77777777" w:rsidR="000A7BB8" w:rsidRDefault="000A7BB8" w:rsidP="00543A53">
      <w:pPr>
        <w:pStyle w:val="NoSpacing"/>
      </w:pPr>
    </w:p>
    <w:p w14:paraId="6EB1499D" w14:textId="5201FF02" w:rsidR="000A7BB8" w:rsidRDefault="00E63250" w:rsidP="000A7BB8">
      <w:pPr>
        <w:pStyle w:val="NoSpacing"/>
        <w:numPr>
          <w:ilvl w:val="0"/>
          <w:numId w:val="22"/>
        </w:numPr>
      </w:pPr>
      <w:r>
        <w:t>Four</w:t>
      </w:r>
      <w:r w:rsidR="00C22D84">
        <w:t xml:space="preserve"> graphs below illustrate</w:t>
      </w:r>
      <w:r w:rsidR="00273A9A">
        <w:t xml:space="preserve"> h</w:t>
      </w:r>
      <w:r w:rsidR="00C22D84">
        <w:t>ow good the QM</w:t>
      </w:r>
      <w:r w:rsidR="00167FBA">
        <w:rPr>
          <w:iCs/>
        </w:rPr>
        <w:t>/ESW</w:t>
      </w:r>
      <w:r w:rsidR="00C22D84">
        <w:t xml:space="preserve"> theory fits the overall data and how the BET strays at high </w:t>
      </w:r>
      <w:r w:rsidR="002B5EAC">
        <w:t xml:space="preserve">and very low </w:t>
      </w:r>
      <w:r w:rsidR="00C22D84">
        <w:t>pressures</w:t>
      </w:r>
      <w:r w:rsidR="008601B8">
        <w:t>.</w:t>
      </w:r>
    </w:p>
    <w:p w14:paraId="249687D7" w14:textId="0922BC26" w:rsidR="000A7BB8" w:rsidRDefault="004B4418" w:rsidP="000A7BB8">
      <w:pPr>
        <w:pStyle w:val="NoSpacing"/>
        <w:numPr>
          <w:ilvl w:val="0"/>
          <w:numId w:val="22"/>
        </w:numPr>
      </w:pPr>
      <w:r>
        <w:t>T</w:t>
      </w:r>
      <w:r w:rsidR="00C22D84">
        <w:t>he BET range is, showing the upper and lower limits</w:t>
      </w:r>
      <w:r>
        <w:t xml:space="preserve"> in </w:t>
      </w:r>
      <w:r>
        <w:fldChar w:fldCharType="begin"/>
      </w:r>
      <w:r>
        <w:instrText xml:space="preserve"> REF _Ref159697409 \h </w:instrText>
      </w:r>
      <w:r>
        <w:fldChar w:fldCharType="separate"/>
      </w:r>
      <w:r w:rsidRPr="00303F70">
        <w:rPr>
          <w:i/>
          <w:iCs/>
        </w:rPr>
        <w:t xml:space="preserve">Figure </w:t>
      </w:r>
      <w:r>
        <w:rPr>
          <w:i/>
          <w:iCs/>
          <w:noProof/>
        </w:rPr>
        <w:t>2</w:t>
      </w:r>
      <w:r>
        <w:fldChar w:fldCharType="end"/>
      </w:r>
      <w:r w:rsidR="00C22D84">
        <w:t>.</w:t>
      </w:r>
    </w:p>
    <w:p w14:paraId="3D1A024E" w14:textId="31A0C825" w:rsidR="000A7BB8" w:rsidRDefault="00C22D84" w:rsidP="000A7BB8">
      <w:pPr>
        <w:pStyle w:val="NoSpacing"/>
        <w:numPr>
          <w:ilvl w:val="0"/>
          <w:numId w:val="22"/>
        </w:numPr>
      </w:pPr>
      <w:r>
        <w:t>How the BET</w:t>
      </w:r>
      <w:r w:rsidR="000A1FAA">
        <w:t xml:space="preserve"> in </w:t>
      </w:r>
      <w:r w:rsidR="008601B8">
        <w:t xml:space="preserve">the </w:t>
      </w:r>
      <w:r w:rsidR="000A1FAA">
        <w:t>allowed range</w:t>
      </w:r>
      <w:r>
        <w:t xml:space="preserve"> fit</w:t>
      </w:r>
      <w:r w:rsidR="004905CD">
        <w:t>s</w:t>
      </w:r>
      <w:r>
        <w:t xml:space="preserve"> </w:t>
      </w:r>
      <w:r w:rsidR="004905CD">
        <w:t xml:space="preserve">to the data </w:t>
      </w:r>
      <w:r>
        <w:t>compare</w:t>
      </w:r>
      <w:r w:rsidR="004905CD">
        <w:t>d</w:t>
      </w:r>
      <w:r>
        <w:t xml:space="preserve"> to the </w:t>
      </w:r>
      <w:r w:rsidR="004905CD">
        <w:t>how QM</w:t>
      </w:r>
      <w:r w:rsidR="00167FBA">
        <w:rPr>
          <w:iCs/>
        </w:rPr>
        <w:t>/ESW</w:t>
      </w:r>
      <w:r w:rsidR="004905CD">
        <w:t xml:space="preserve"> fits to the</w:t>
      </w:r>
      <w:r w:rsidR="008601B8">
        <w:t xml:space="preserve"> </w:t>
      </w:r>
      <w:r w:rsidR="004905CD">
        <w:t xml:space="preserve">data over the </w:t>
      </w:r>
      <w:r w:rsidR="000A1FAA">
        <w:t>full isotherm</w:t>
      </w:r>
      <w:r w:rsidR="004905CD">
        <w:t>.</w:t>
      </w:r>
    </w:p>
    <w:p w14:paraId="43539907" w14:textId="4D9CE004" w:rsidR="000A7BB8" w:rsidRDefault="00C22D84" w:rsidP="000A7BB8">
      <w:pPr>
        <w:pStyle w:val="NoSpacing"/>
        <w:numPr>
          <w:ilvl w:val="0"/>
          <w:numId w:val="22"/>
        </w:numPr>
      </w:pPr>
      <w:r>
        <w:t xml:space="preserve">What the effect of the energy distribution </w:t>
      </w:r>
      <w:r w:rsidR="000A1FAA">
        <w:t>has on the</w:t>
      </w:r>
      <w:r>
        <w:t xml:space="preserve"> curve near &lt;</w:t>
      </w:r>
      <w:r w:rsidRPr="004905CD">
        <w:rPr>
          <w:rFonts w:cs="Times New Roman"/>
        </w:rPr>
        <w:t>χ</w:t>
      </w:r>
      <w:r w:rsidRPr="004905CD">
        <w:rPr>
          <w:rFonts w:cs="Times New Roman"/>
          <w:vertAlign w:val="subscript"/>
        </w:rPr>
        <w:t>ς</w:t>
      </w:r>
      <w:r w:rsidRPr="004905CD">
        <w:rPr>
          <w:rFonts w:cs="Times New Roman"/>
        </w:rPr>
        <w:t>&gt;</w:t>
      </w:r>
      <w:r w:rsidR="004B4418">
        <w:rPr>
          <w:rFonts w:cs="Times New Roman"/>
        </w:rPr>
        <w:t xml:space="preserve"> (</w:t>
      </w:r>
      <w:r w:rsidR="004B4418">
        <w:rPr>
          <w:rFonts w:cs="Times New Roman"/>
        </w:rPr>
        <w:fldChar w:fldCharType="begin"/>
      </w:r>
      <w:r w:rsidR="004B4418">
        <w:rPr>
          <w:rFonts w:cs="Times New Roman"/>
        </w:rPr>
        <w:instrText xml:space="preserve"> REF _Ref171009871 \h </w:instrText>
      </w:r>
      <w:r w:rsidR="004B4418">
        <w:rPr>
          <w:rFonts w:cs="Times New Roman"/>
        </w:rPr>
      </w:r>
      <w:r w:rsidR="004B4418">
        <w:rPr>
          <w:rFonts w:cs="Times New Roman"/>
        </w:rPr>
        <w:fldChar w:fldCharType="separate"/>
      </w:r>
      <w:r w:rsidR="004B4418" w:rsidRPr="00A32ADA">
        <w:rPr>
          <w:i/>
          <w:iCs/>
        </w:rPr>
        <w:t xml:space="preserve">Figure </w:t>
      </w:r>
      <w:r w:rsidR="004B4418">
        <w:rPr>
          <w:i/>
          <w:iCs/>
          <w:noProof/>
        </w:rPr>
        <w:t>4</w:t>
      </w:r>
      <w:r w:rsidR="004B4418">
        <w:rPr>
          <w:rFonts w:cs="Times New Roman"/>
        </w:rPr>
        <w:fldChar w:fldCharType="end"/>
      </w:r>
      <w:r w:rsidR="004B4418">
        <w:rPr>
          <w:rFonts w:cs="Times New Roman"/>
        </w:rPr>
        <w:t>.)</w:t>
      </w:r>
    </w:p>
    <w:p w14:paraId="03D055EB" w14:textId="77777777" w:rsidR="000A7BB8" w:rsidRDefault="000A7BB8" w:rsidP="000A7BB8">
      <w:pPr>
        <w:pStyle w:val="NoSpacing"/>
        <w:ind w:left="720"/>
      </w:pPr>
    </w:p>
    <w:p w14:paraId="60BDEE1C" w14:textId="48A35431" w:rsidR="00C22D84" w:rsidRDefault="00C22D84" w:rsidP="00543A53">
      <w:pPr>
        <w:pStyle w:val="NoSpacing"/>
        <w:rPr>
          <w:rFonts w:cs="Times New Roman"/>
        </w:rPr>
      </w:pPr>
      <w:r>
        <w:t xml:space="preserve">The plots are all based upon the </w:t>
      </w:r>
      <w:r>
        <w:rPr>
          <w:rFonts w:cs="Times New Roman"/>
        </w:rPr>
        <w:t>χ</w:t>
      </w:r>
      <w:r>
        <w:t xml:space="preserve">-transformation of the independent variable.  Some may object to this as being biased, but it is not.  This is because the </w:t>
      </w:r>
      <w:r w:rsidR="000A7BB8">
        <w:t xml:space="preserve">significant </w:t>
      </w:r>
      <w:r>
        <w:t>errors that exist</w:t>
      </w:r>
      <w:r w:rsidR="00FA5F48">
        <w:t xml:space="preserve"> </w:t>
      </w:r>
      <w:r w:rsidR="00E63250">
        <w:t xml:space="preserve">are </w:t>
      </w:r>
      <w:r>
        <w:t>in the dependent variable</w:t>
      </w:r>
      <w:r w:rsidR="004B4418">
        <w:t xml:space="preserve"> and the analysis is only of the dependent variable</w:t>
      </w:r>
      <w:r w:rsidR="00B93579">
        <w:t>.</w:t>
      </w:r>
      <w:r w:rsidR="000A7BB8">
        <w:t xml:space="preserve"> </w:t>
      </w:r>
      <w:r>
        <w:t xml:space="preserve"> One of the advantages of the </w:t>
      </w:r>
      <w:r>
        <w:rPr>
          <w:rFonts w:cs="Times New Roman"/>
        </w:rPr>
        <w:t>χ</w:t>
      </w:r>
      <w:r>
        <w:t>-plot is that it “stretches out” t</w:t>
      </w:r>
      <w:r w:rsidR="00583486">
        <w:t>h</w:t>
      </w:r>
      <w:r w:rsidR="000A1FAA">
        <w:t>e</w:t>
      </w:r>
      <w:r>
        <w:t xml:space="preserve"> data for presentation in both the very high and very low pressures ranges.  </w:t>
      </w:r>
      <w:r w:rsidR="00FA5F48">
        <w:t xml:space="preserve">This </w:t>
      </w:r>
      <w:r w:rsidR="00273A9A">
        <w:t xml:space="preserve">became obvious with </w:t>
      </w:r>
      <w:r w:rsidR="000E23C7">
        <w:t>its</w:t>
      </w:r>
      <w:r w:rsidR="00273A9A">
        <w:t xml:space="preserve"> early</w:t>
      </w:r>
      <w:r w:rsidR="00FA5F48">
        <w:t xml:space="preserve"> use.</w:t>
      </w:r>
      <w:r w:rsidR="00FA5F48" w:rsidRPr="000A7BB8">
        <w:rPr>
          <w:rStyle w:val="EndnoteReference"/>
        </w:rPr>
        <w:endnoteReference w:id="31"/>
      </w:r>
      <w:r w:rsidR="00860276" w:rsidRPr="000A7BB8">
        <w:rPr>
          <w:vertAlign w:val="superscript"/>
        </w:rPr>
        <w:t>,</w:t>
      </w:r>
      <w:r w:rsidR="00FA5F48" w:rsidRPr="000A7BB8">
        <w:rPr>
          <w:rStyle w:val="EndnoteReference"/>
        </w:rPr>
        <w:endnoteReference w:id="32"/>
      </w:r>
      <w:r w:rsidR="00FA5F48">
        <w:t xml:space="preserve">  </w:t>
      </w:r>
      <w:r w:rsidR="001618FB">
        <w:t xml:space="preserve">Also, </w:t>
      </w:r>
      <w:r>
        <w:t xml:space="preserve">the </w:t>
      </w:r>
      <w:r>
        <w:rPr>
          <w:rFonts w:cs="Times New Roman"/>
        </w:rPr>
        <w:t>Δχ-plot is a direct reading of the monolayer equivalence on the abscissa making interpretation easier.</w:t>
      </w:r>
    </w:p>
    <w:p w14:paraId="52041615" w14:textId="77777777" w:rsidR="000A7BB8" w:rsidRDefault="000A7BB8" w:rsidP="00543A53">
      <w:pPr>
        <w:pStyle w:val="NoSpacing"/>
        <w:rPr>
          <w:rFonts w:cs="Times New Roman"/>
        </w:rPr>
      </w:pPr>
    </w:p>
    <w:p w14:paraId="716499AF" w14:textId="0515DFBA" w:rsidR="00C22D84" w:rsidRDefault="00C22D84" w:rsidP="00543A53">
      <w:pPr>
        <w:pStyle w:val="NoSpacing"/>
        <w:rPr>
          <w:rFonts w:cs="Times New Roman"/>
        </w:rPr>
      </w:pPr>
      <w:r>
        <w:rPr>
          <w:rFonts w:cs="Times New Roman"/>
        </w:rPr>
        <w:t>Usually, one obtains an upturn in the data toward the end of the χ-plot.  This is normally interpreted as a</w:t>
      </w:r>
      <w:r w:rsidR="000A7BB8">
        <w:rPr>
          <w:rFonts w:cs="Times New Roman"/>
        </w:rPr>
        <w:t>n incorrect</w:t>
      </w:r>
      <w:r>
        <w:rPr>
          <w:rFonts w:cs="Times New Roman"/>
        </w:rPr>
        <w:t xml:space="preserve"> temperature reading and a distortion in the data.  A</w:t>
      </w:r>
      <w:r w:rsidR="00583486">
        <w:rPr>
          <w:rFonts w:cs="Times New Roman"/>
        </w:rPr>
        <w:t>n</w:t>
      </w:r>
      <w:r>
        <w:rPr>
          <w:rFonts w:cs="Times New Roman"/>
        </w:rPr>
        <w:t xml:space="preserve"> upturn in the χ-plot indicates that the temperature of the adsorbent is higher than the authors believe</w:t>
      </w:r>
      <w:r w:rsidR="000A7BB8">
        <w:rPr>
          <w:rFonts w:cs="Times New Roman"/>
        </w:rPr>
        <w:t>, which</w:t>
      </w:r>
      <w:r>
        <w:rPr>
          <w:rFonts w:cs="Times New Roman"/>
        </w:rPr>
        <w:t xml:space="preserve"> is the most common c</w:t>
      </w:r>
      <w:r w:rsidR="00583F7F">
        <w:rPr>
          <w:rFonts w:cs="Times New Roman"/>
        </w:rPr>
        <w:t>ause</w:t>
      </w:r>
      <w:r>
        <w:rPr>
          <w:rFonts w:cs="Times New Roman"/>
        </w:rPr>
        <w:t xml:space="preserve"> and is attributed to unbaffled radiative heating</w:t>
      </w:r>
      <w:r w:rsidR="00583486">
        <w:rPr>
          <w:rFonts w:cs="Times New Roman"/>
        </w:rPr>
        <w:t>, which</w:t>
      </w:r>
      <w:r>
        <w:rPr>
          <w:rFonts w:cs="Times New Roman"/>
        </w:rPr>
        <w:t xml:space="preserve"> warm</w:t>
      </w:r>
      <w:r w:rsidR="00583486">
        <w:rPr>
          <w:rFonts w:cs="Times New Roman"/>
        </w:rPr>
        <w:t>s</w:t>
      </w:r>
      <w:r>
        <w:rPr>
          <w:rFonts w:cs="Times New Roman"/>
        </w:rPr>
        <w:t xml:space="preserve"> the adsorbent.  </w:t>
      </w:r>
      <w:r w:rsidR="006D4205">
        <w:rPr>
          <w:rFonts w:cs="Times New Roman"/>
        </w:rPr>
        <w:t>A</w:t>
      </w:r>
      <w:r>
        <w:rPr>
          <w:rFonts w:cs="Times New Roman"/>
        </w:rPr>
        <w:t xml:space="preserve"> </w:t>
      </w:r>
      <w:r w:rsidR="005B23A4">
        <w:rPr>
          <w:rFonts w:cs="Times New Roman"/>
        </w:rPr>
        <w:t>negative curvature</w:t>
      </w:r>
      <w:r>
        <w:rPr>
          <w:rFonts w:cs="Times New Roman"/>
        </w:rPr>
        <w:t xml:space="preserve"> near the end</w:t>
      </w:r>
      <w:r w:rsidR="006D4205">
        <w:rPr>
          <w:rFonts w:cs="Times New Roman"/>
        </w:rPr>
        <w:t xml:space="preserve"> </w:t>
      </w:r>
      <w:r w:rsidR="006D4205">
        <w:rPr>
          <w:rFonts w:cs="Times New Roman"/>
        </w:rPr>
        <w:sym w:font="Symbol" w:char="F063"/>
      </w:r>
      <w:r w:rsidR="006D4205">
        <w:rPr>
          <w:rFonts w:cs="Times New Roman"/>
        </w:rPr>
        <w:t xml:space="preserve">-plot has also been observe.  This </w:t>
      </w:r>
      <w:r>
        <w:rPr>
          <w:rFonts w:cs="Times New Roman"/>
        </w:rPr>
        <w:t xml:space="preserve">is </w:t>
      </w:r>
      <w:r w:rsidR="000A7BB8">
        <w:rPr>
          <w:rFonts w:cs="Times New Roman"/>
        </w:rPr>
        <w:t xml:space="preserve">usually </w:t>
      </w:r>
      <w:r>
        <w:rPr>
          <w:rFonts w:cs="Times New Roman"/>
        </w:rPr>
        <w:t>attribut</w:t>
      </w:r>
      <w:r w:rsidR="006D4205">
        <w:rPr>
          <w:rFonts w:cs="Times New Roman"/>
        </w:rPr>
        <w:t xml:space="preserve">able </w:t>
      </w:r>
      <w:r w:rsidR="007A2F5E">
        <w:rPr>
          <w:rFonts w:cs="Times New Roman"/>
        </w:rPr>
        <w:t xml:space="preserve">to </w:t>
      </w:r>
      <w:r>
        <w:rPr>
          <w:rFonts w:cs="Times New Roman"/>
        </w:rPr>
        <w:t>a temperature being cold</w:t>
      </w:r>
      <w:r w:rsidR="00583F7F">
        <w:rPr>
          <w:rFonts w:cs="Times New Roman"/>
        </w:rPr>
        <w:t>er</w:t>
      </w:r>
      <w:r>
        <w:rPr>
          <w:rFonts w:cs="Times New Roman"/>
        </w:rPr>
        <w:t xml:space="preserve"> tha</w:t>
      </w:r>
      <w:r w:rsidR="00583F7F">
        <w:rPr>
          <w:rFonts w:cs="Times New Roman"/>
        </w:rPr>
        <w:t>n</w:t>
      </w:r>
      <w:r>
        <w:rPr>
          <w:rFonts w:cs="Times New Roman"/>
        </w:rPr>
        <w:t xml:space="preserve"> believed to be the case. This is a special problem </w:t>
      </w:r>
      <w:r>
        <w:rPr>
          <w:rFonts w:cs="Times New Roman"/>
        </w:rPr>
        <w:lastRenderedPageBreak/>
        <w:t xml:space="preserve">for liquid </w:t>
      </w:r>
      <w:proofErr w:type="gramStart"/>
      <w:r>
        <w:rPr>
          <w:rFonts w:cs="Times New Roman"/>
        </w:rPr>
        <w:t>N</w:t>
      </w:r>
      <w:r>
        <w:rPr>
          <w:rFonts w:cs="Times New Roman"/>
          <w:vertAlign w:val="subscript"/>
        </w:rPr>
        <w:t>2</w:t>
      </w:r>
      <w:proofErr w:type="gramEnd"/>
      <w:r>
        <w:rPr>
          <w:rFonts w:cs="Times New Roman"/>
        </w:rPr>
        <w:t xml:space="preserve"> or other refrigerants being us</w:t>
      </w:r>
      <w:r w:rsidR="00886EBE">
        <w:rPr>
          <w:rFonts w:cs="Times New Roman"/>
        </w:rPr>
        <w:t>ed</w:t>
      </w:r>
      <w:r>
        <w:rPr>
          <w:rFonts w:cs="Times New Roman"/>
        </w:rPr>
        <w:t xml:space="preserve"> at pressure</w:t>
      </w:r>
      <w:r w:rsidR="00583F7F">
        <w:rPr>
          <w:rFonts w:cs="Times New Roman"/>
        </w:rPr>
        <w:t>s</w:t>
      </w:r>
      <w:r>
        <w:rPr>
          <w:rFonts w:cs="Times New Roman"/>
        </w:rPr>
        <w:t xml:space="preserve"> lower than 1 bar atmospheric pressure, for example at higher elevations or during a strong low-pressure weather</w:t>
      </w:r>
      <w:r w:rsidR="00E63250">
        <w:rPr>
          <w:rFonts w:cs="Times New Roman"/>
        </w:rPr>
        <w:t xml:space="preserve"> system</w:t>
      </w:r>
      <w:r>
        <w:rPr>
          <w:rFonts w:cs="Times New Roman"/>
        </w:rPr>
        <w:t xml:space="preserve">.  </w:t>
      </w:r>
    </w:p>
    <w:p w14:paraId="0187059D" w14:textId="77777777" w:rsidR="000A7BB8" w:rsidRDefault="000A7BB8" w:rsidP="00543A53">
      <w:pPr>
        <w:pStyle w:val="NoSpacing"/>
        <w:rPr>
          <w:rFonts w:cs="Times New Roman"/>
        </w:rPr>
      </w:pPr>
    </w:p>
    <w:p w14:paraId="784D1AFC" w14:textId="3CA9CD40" w:rsidR="00D46C32" w:rsidRPr="007466D6" w:rsidRDefault="00C22D84" w:rsidP="00543A53">
      <w:pPr>
        <w:pStyle w:val="NoSpacing"/>
        <w:rPr>
          <w:rFonts w:cs="Times New Roman"/>
        </w:rPr>
      </w:pPr>
      <w:r>
        <w:rPr>
          <w:rFonts w:cs="Times New Roman"/>
        </w:rPr>
        <w:t>In the KJO case, the temperature from the data was calculated to be less than 0.01 K too warm, which creates little problems and changes the output parameters very little.  It must be that they took special care to guard against this error, since, normally in the past, Micromeritics instruments lacked such control</w:t>
      </w:r>
      <w:r w:rsidR="00F93ABC">
        <w:rPr>
          <w:rStyle w:val="FootnoteReference"/>
          <w:rFonts w:cs="Times New Roman"/>
        </w:rPr>
        <w:footnoteReference w:id="12"/>
      </w:r>
      <w:r>
        <w:rPr>
          <w:rFonts w:cs="Times New Roman"/>
        </w:rPr>
        <w:t>.</w:t>
      </w:r>
      <w:r w:rsidR="001D5755">
        <w:rPr>
          <w:rFonts w:cs="Times New Roman"/>
        </w:rPr>
        <w:t xml:space="preserve">  </w:t>
      </w:r>
      <w:r w:rsidR="00D46C32">
        <w:rPr>
          <w:rFonts w:cs="Times New Roman"/>
        </w:rPr>
        <w:t>The vacuum system was UHV</w:t>
      </w:r>
      <w:r w:rsidR="007466D6">
        <w:rPr>
          <w:rFonts w:cs="Times New Roman"/>
        </w:rPr>
        <w:t xml:space="preserve"> capable of ~1 × 10</w:t>
      </w:r>
      <w:r w:rsidR="007466D6">
        <w:rPr>
          <w:rFonts w:cs="Times New Roman"/>
          <w:vertAlign w:val="superscript"/>
        </w:rPr>
        <w:t>-10</w:t>
      </w:r>
      <w:r w:rsidR="007466D6" w:rsidRPr="007466D6">
        <w:rPr>
          <w:rFonts w:cs="Times New Roman"/>
        </w:rPr>
        <w:t> </w:t>
      </w:r>
      <w:r w:rsidR="007466D6">
        <w:rPr>
          <w:rFonts w:cs="Times New Roman"/>
        </w:rPr>
        <w:t xml:space="preserve">bar and the first data point was </w:t>
      </w:r>
      <w:r w:rsidR="007466D6">
        <w:rPr>
          <w:rFonts w:cs="Times New Roman"/>
          <w:i/>
          <w:iCs/>
        </w:rPr>
        <w:t>P</w:t>
      </w:r>
      <w:r w:rsidR="007466D6">
        <w:rPr>
          <w:rFonts w:cs="Times New Roman"/>
        </w:rPr>
        <w:t>/</w:t>
      </w:r>
      <w:proofErr w:type="gramStart"/>
      <w:r w:rsidR="007466D6">
        <w:rPr>
          <w:rFonts w:cs="Times New Roman"/>
          <w:i/>
          <w:iCs/>
        </w:rPr>
        <w:t>P</w:t>
      </w:r>
      <w:r w:rsidR="007466D6">
        <w:rPr>
          <w:rFonts w:cs="Times New Roman"/>
          <w:vertAlign w:val="subscript"/>
        </w:rPr>
        <w:t xml:space="preserve">vap </w:t>
      </w:r>
      <w:r w:rsidR="007466D6">
        <w:rPr>
          <w:rFonts w:cs="Times New Roman"/>
          <w:vertAlign w:val="superscript"/>
        </w:rPr>
        <w:t xml:space="preserve"> </w:t>
      </w:r>
      <w:r w:rsidR="007466D6">
        <w:rPr>
          <w:rFonts w:cs="Times New Roman"/>
        </w:rPr>
        <w:t>=</w:t>
      </w:r>
      <w:proofErr w:type="gramEnd"/>
      <w:r w:rsidR="007466D6">
        <w:rPr>
          <w:rFonts w:cs="Times New Roman"/>
        </w:rPr>
        <w:t xml:space="preserve"> 5.55 × 10</w:t>
      </w:r>
      <w:r w:rsidR="007466D6">
        <w:rPr>
          <w:rFonts w:cs="Times New Roman"/>
          <w:vertAlign w:val="superscript"/>
        </w:rPr>
        <w:t>-7</w:t>
      </w:r>
      <w:r w:rsidR="007466D6">
        <w:rPr>
          <w:rFonts w:cs="Times New Roman"/>
        </w:rPr>
        <w:t>.</w:t>
      </w:r>
      <w:r w:rsidR="00EB0E13">
        <w:rPr>
          <w:rFonts w:cs="Times New Roman"/>
        </w:rPr>
        <w:t xml:space="preserve"> The last two data points in KJO’s publication, presented in parenthesis in their data listing, were not used.  These data points were obtained from a different adsorbent sample which was characterized as being physically, and probably chemically, different.  The residual of these two points were well out of the range for the other data points, but even so, the effect was to change the standard deviation only by about 8.4 x 10</w:t>
      </w:r>
      <w:r w:rsidR="00EB0E13">
        <w:rPr>
          <w:rFonts w:cs="Times New Roman"/>
          <w:vertAlign w:val="superscript"/>
        </w:rPr>
        <w:t>-6</w:t>
      </w:r>
      <w:r w:rsidR="00EB0E13">
        <w:rPr>
          <w:rFonts w:cs="Times New Roman"/>
        </w:rPr>
        <w:t xml:space="preserve"> </w:t>
      </w:r>
      <w:r w:rsidR="00EB0E13" w:rsidRPr="00C43ADB">
        <w:rPr>
          <w:rFonts w:cs="Times New Roman"/>
        </w:rPr>
        <w:t>mmol/g</w:t>
      </w:r>
      <w:r w:rsidR="00EB0E13">
        <w:rPr>
          <w:rFonts w:cs="Times New Roman"/>
        </w:rPr>
        <w:t xml:space="preserve"> out of 1.3 </w:t>
      </w:r>
      <w:r w:rsidR="00EB0E13" w:rsidRPr="00C43ADB">
        <w:rPr>
          <w:rFonts w:cs="Times New Roman"/>
        </w:rPr>
        <w:t>mmol/g</w:t>
      </w:r>
      <w:r w:rsidR="00EB0E13">
        <w:rPr>
          <w:rFonts w:cs="Times New Roman"/>
        </w:rPr>
        <w:t xml:space="preserve"> total or 6.5 × 10</w:t>
      </w:r>
      <w:r w:rsidR="00EB0E13" w:rsidRPr="00EB0E13">
        <w:rPr>
          <w:rFonts w:cs="Times New Roman"/>
          <w:vertAlign w:val="superscript"/>
        </w:rPr>
        <w:t>−4</w:t>
      </w:r>
      <w:r w:rsidR="00EB0E13">
        <w:rPr>
          <w:rFonts w:cs="Times New Roman"/>
        </w:rPr>
        <w:t xml:space="preserve"> % FDR (of Full Data Range</w:t>
      </w:r>
      <w:r w:rsidR="00EB0E13">
        <w:rPr>
          <w:rStyle w:val="FootnoteReference"/>
          <w:rFonts w:cs="Times New Roman"/>
        </w:rPr>
        <w:footnoteReference w:id="13"/>
      </w:r>
      <w:r w:rsidR="00EB0E13">
        <w:rPr>
          <w:rFonts w:cs="Times New Roman"/>
        </w:rPr>
        <w:t>.)</w:t>
      </w:r>
    </w:p>
    <w:p w14:paraId="76FDB6B7" w14:textId="77777777" w:rsidR="000A7BB8" w:rsidRDefault="000A7BB8" w:rsidP="00543A53">
      <w:pPr>
        <w:pStyle w:val="NoSpacing"/>
        <w:rPr>
          <w:rFonts w:cs="Times New Roman"/>
        </w:rPr>
      </w:pPr>
    </w:p>
    <w:p w14:paraId="5BF00DAB" w14:textId="002AF3CF" w:rsidR="00C7222F" w:rsidRDefault="00C22D84" w:rsidP="00543A53">
      <w:pPr>
        <w:pStyle w:val="NoSpacing"/>
        <w:rPr>
          <w:rFonts w:cs="Times New Roman"/>
        </w:rPr>
      </w:pPr>
      <w:r>
        <w:rPr>
          <w:rFonts w:cs="Times New Roman"/>
        </w:rPr>
        <w:t xml:space="preserve">In </w:t>
      </w:r>
      <w:r w:rsidR="00F93ABC">
        <w:rPr>
          <w:rFonts w:cs="Times New Roman"/>
        </w:rPr>
        <w:fldChar w:fldCharType="begin"/>
      </w:r>
      <w:r w:rsidR="00F93ABC">
        <w:rPr>
          <w:rFonts w:cs="Times New Roman"/>
        </w:rPr>
        <w:instrText xml:space="preserve"> REF _Ref159697471 \h </w:instrText>
      </w:r>
      <w:r w:rsidR="00F93ABC">
        <w:rPr>
          <w:rFonts w:cs="Times New Roman"/>
        </w:rPr>
      </w:r>
      <w:r w:rsidR="00F93ABC">
        <w:rPr>
          <w:rFonts w:cs="Times New Roman"/>
        </w:rPr>
        <w:fldChar w:fldCharType="separate"/>
      </w:r>
      <w:r w:rsidR="00040CA9" w:rsidRPr="002F7EE4">
        <w:rPr>
          <w:i/>
          <w:iCs/>
        </w:rPr>
        <w:t xml:space="preserve">Figure </w:t>
      </w:r>
      <w:r w:rsidR="00040CA9">
        <w:rPr>
          <w:i/>
          <w:iCs/>
          <w:noProof/>
        </w:rPr>
        <w:t>1</w:t>
      </w:r>
      <w:r w:rsidR="00F93ABC">
        <w:rPr>
          <w:rFonts w:cs="Times New Roman"/>
        </w:rPr>
        <w:fldChar w:fldCharType="end"/>
      </w:r>
      <w:r w:rsidR="00F93ABC">
        <w:rPr>
          <w:rFonts w:cs="Times New Roman"/>
        </w:rPr>
        <w:t xml:space="preserve"> through </w:t>
      </w:r>
      <w:r w:rsidR="00F93ABC">
        <w:rPr>
          <w:rFonts w:cs="Times New Roman"/>
          <w:i/>
          <w:iCs/>
        </w:rPr>
        <w:t>4</w:t>
      </w:r>
      <w:r>
        <w:rPr>
          <w:rFonts w:cs="Times New Roman"/>
        </w:rPr>
        <w:t xml:space="preserve"> are the fits </w:t>
      </w:r>
      <w:r w:rsidR="00EA2C12">
        <w:rPr>
          <w:rFonts w:cs="Times New Roman"/>
        </w:rPr>
        <w:t xml:space="preserve">of the KJO data with </w:t>
      </w:r>
      <w:r>
        <w:rPr>
          <w:rFonts w:cs="Times New Roman"/>
        </w:rPr>
        <w:t>at different magnifications</w:t>
      </w:r>
      <w:r w:rsidR="00D93B30">
        <w:rPr>
          <w:rFonts w:cs="Times New Roman"/>
        </w:rPr>
        <w:t xml:space="preserve"> with the BET and the QM</w:t>
      </w:r>
      <w:r w:rsidR="00167FBA">
        <w:rPr>
          <w:iCs/>
        </w:rPr>
        <w:t>/ESW</w:t>
      </w:r>
      <w:r w:rsidR="00D93B30">
        <w:rPr>
          <w:rFonts w:cs="Times New Roman"/>
        </w:rPr>
        <w:t xml:space="preserve"> fits.</w:t>
      </w:r>
      <w:r>
        <w:rPr>
          <w:rFonts w:cs="Times New Roman"/>
        </w:rPr>
        <w:t xml:space="preserve">  </w:t>
      </w:r>
      <w:r w:rsidR="00C7222F">
        <w:rPr>
          <w:rFonts w:cs="Times New Roman"/>
        </w:rPr>
        <w:t>The following fits were calculated</w:t>
      </w:r>
      <w:r w:rsidR="00EB0E13">
        <w:rPr>
          <w:rFonts w:cs="Times New Roman"/>
        </w:rPr>
        <w:t xml:space="preserve"> and presented in </w:t>
      </w:r>
      <w:r w:rsidR="00EB0E13">
        <w:rPr>
          <w:rFonts w:cs="Times New Roman"/>
          <w:b/>
          <w:bCs/>
        </w:rPr>
        <w:t>Table 1.</w:t>
      </w:r>
      <w:r w:rsidR="00C7222F">
        <w:rPr>
          <w:rFonts w:cs="Times New Roman"/>
        </w:rPr>
        <w:t>:</w:t>
      </w:r>
    </w:p>
    <w:p w14:paraId="03A64143" w14:textId="0AD800CD" w:rsidR="00C7222F" w:rsidRDefault="00C7222F" w:rsidP="00C7222F">
      <w:pPr>
        <w:pStyle w:val="NoSpacing"/>
        <w:numPr>
          <w:ilvl w:val="0"/>
          <w:numId w:val="31"/>
        </w:numPr>
        <w:rPr>
          <w:rFonts w:cs="Times New Roman"/>
        </w:rPr>
      </w:pPr>
      <w:r>
        <w:rPr>
          <w:rFonts w:cs="Times New Roman"/>
        </w:rPr>
        <w:t>a QM</w:t>
      </w:r>
      <w:r w:rsidR="00167FBA">
        <w:rPr>
          <w:iCs/>
        </w:rPr>
        <w:t>/ESW</w:t>
      </w:r>
      <w:r>
        <w:rPr>
          <w:rFonts w:cs="Times New Roman"/>
        </w:rPr>
        <w:t xml:space="preserve"> calculation assuming no heterogeneity</w:t>
      </w:r>
    </w:p>
    <w:p w14:paraId="7C07C488" w14:textId="1BA37F95" w:rsidR="000A7BB8" w:rsidRDefault="00C7222F" w:rsidP="00E80D26">
      <w:pPr>
        <w:pStyle w:val="NoSpacing"/>
        <w:numPr>
          <w:ilvl w:val="0"/>
          <w:numId w:val="31"/>
        </w:numPr>
        <w:rPr>
          <w:rFonts w:cs="Times New Roman"/>
        </w:rPr>
      </w:pPr>
      <w:r w:rsidRPr="00C7222F">
        <w:rPr>
          <w:rFonts w:cs="Times New Roman"/>
        </w:rPr>
        <w:t>a QM</w:t>
      </w:r>
      <w:r w:rsidR="00167FBA">
        <w:rPr>
          <w:iCs/>
        </w:rPr>
        <w:t>/ESW</w:t>
      </w:r>
      <w:r w:rsidRPr="00C7222F">
        <w:rPr>
          <w:rFonts w:cs="Times New Roman"/>
        </w:rPr>
        <w:t xml:space="preserve"> calculation assuming heterogeneity</w:t>
      </w:r>
    </w:p>
    <w:p w14:paraId="471F1F38" w14:textId="13CF1BC8" w:rsidR="00C7222F" w:rsidRDefault="00C7222F" w:rsidP="00E80D26">
      <w:pPr>
        <w:pStyle w:val="NoSpacing"/>
        <w:numPr>
          <w:ilvl w:val="0"/>
          <w:numId w:val="31"/>
        </w:numPr>
        <w:rPr>
          <w:rFonts w:cs="Times New Roman"/>
        </w:rPr>
      </w:pPr>
      <w:r>
        <w:rPr>
          <w:rFonts w:cs="Times New Roman"/>
        </w:rPr>
        <w:t xml:space="preserve">a BET calculation with the </w:t>
      </w:r>
      <w:r w:rsidR="001D36D2">
        <w:rPr>
          <w:rFonts w:cs="Times New Roman"/>
        </w:rPr>
        <w:t xml:space="preserve">high pressure </w:t>
      </w:r>
      <w:r>
        <w:rPr>
          <w:rFonts w:cs="Times New Roman"/>
        </w:rPr>
        <w:t xml:space="preserve">Rouquerol criterion and </w:t>
      </w:r>
      <w:r>
        <w:rPr>
          <w:rFonts w:cs="Times New Roman"/>
          <w:i/>
          <w:iCs/>
        </w:rPr>
        <w:t>X</w:t>
      </w:r>
      <w:r>
        <w:rPr>
          <w:rFonts w:cs="Times New Roman"/>
        </w:rPr>
        <w:t xml:space="preserve"> = 0.10 for the low.</w:t>
      </w:r>
    </w:p>
    <w:p w14:paraId="6C252F6A" w14:textId="4D6B6D12" w:rsidR="001D36D2" w:rsidRDefault="001D36D2" w:rsidP="001D36D2">
      <w:pPr>
        <w:pStyle w:val="NoSpacing"/>
        <w:numPr>
          <w:ilvl w:val="0"/>
          <w:numId w:val="31"/>
        </w:numPr>
        <w:rPr>
          <w:rFonts w:cs="Times New Roman"/>
        </w:rPr>
      </w:pPr>
      <w:r>
        <w:rPr>
          <w:rFonts w:cs="Times New Roman"/>
        </w:rPr>
        <w:t>a BET calculation with the high pressure Rouquerol criterion and no lower limit.</w:t>
      </w:r>
    </w:p>
    <w:p w14:paraId="26B257C8" w14:textId="77777777" w:rsidR="001D36D2" w:rsidRPr="001D36D2" w:rsidRDefault="001D36D2" w:rsidP="001D36D2">
      <w:pPr>
        <w:pStyle w:val="NoSpacing"/>
        <w:ind w:left="720"/>
        <w:rPr>
          <w:rFonts w:cs="Times New Roman"/>
        </w:rPr>
      </w:pPr>
    </w:p>
    <w:p w14:paraId="7167DD79" w14:textId="7AE716A3" w:rsidR="000A7BB8" w:rsidRDefault="000A7BB8" w:rsidP="00543A53">
      <w:pPr>
        <w:pStyle w:val="NoSpacing"/>
        <w:rPr>
          <w:rFonts w:cs="Times New Roman"/>
        </w:rPr>
      </w:pPr>
    </w:p>
    <w:p w14:paraId="6FD8B0B0" w14:textId="6F3C67CA" w:rsidR="000A7BB8" w:rsidRDefault="000A7BB8">
      <w:pPr>
        <w:spacing w:after="160" w:line="259" w:lineRule="auto"/>
        <w:rPr>
          <w:rFonts w:cs="Times New Roman"/>
          <w:szCs w:val="21"/>
        </w:rPr>
      </w:pPr>
    </w:p>
    <w:tbl>
      <w:tblPr>
        <w:tblStyle w:val="TableGrid"/>
        <w:tblW w:w="0" w:type="auto"/>
        <w:jc w:val="center"/>
        <w:tblLook w:val="04A0" w:firstRow="1" w:lastRow="0" w:firstColumn="1" w:lastColumn="0" w:noHBand="0" w:noVBand="1"/>
      </w:tblPr>
      <w:tblGrid>
        <w:gridCol w:w="4479"/>
        <w:gridCol w:w="4871"/>
      </w:tblGrid>
      <w:tr w:rsidR="00BA3A8A" w14:paraId="281F88F0" w14:textId="77777777" w:rsidTr="000A7BB8">
        <w:trPr>
          <w:jc w:val="center"/>
        </w:trPr>
        <w:tc>
          <w:tcPr>
            <w:tcW w:w="4614" w:type="dxa"/>
            <w:vAlign w:val="center"/>
          </w:tcPr>
          <w:p w14:paraId="38A85488" w14:textId="68F8896D" w:rsidR="00303F70" w:rsidRDefault="00BA3A8A" w:rsidP="00543A53">
            <w:pPr>
              <w:pStyle w:val="NoSpacing"/>
            </w:pPr>
            <w:r>
              <w:rPr>
                <w:noProof/>
              </w:rPr>
              <w:drawing>
                <wp:inline distT="0" distB="0" distL="0" distR="0" wp14:anchorId="21BD1AF4" wp14:editId="52002939">
                  <wp:extent cx="2711956" cy="2047875"/>
                  <wp:effectExtent l="0" t="0" r="0" b="0"/>
                  <wp:docPr id="549221619" name="Picture 1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21619" name="Picture 10" descr="A graph of a functi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73888" cy="2094641"/>
                          </a:xfrm>
                          <a:prstGeom prst="rect">
                            <a:avLst/>
                          </a:prstGeom>
                        </pic:spPr>
                      </pic:pic>
                    </a:graphicData>
                  </a:graphic>
                </wp:inline>
              </w:drawing>
            </w:r>
          </w:p>
          <w:p w14:paraId="2CBFBCB3" w14:textId="575BA037" w:rsidR="00303F70" w:rsidRPr="00971BBB" w:rsidRDefault="00303F70" w:rsidP="00543A53">
            <w:pPr>
              <w:pStyle w:val="NoSpacing"/>
            </w:pPr>
            <w:bookmarkStart w:id="28" w:name="_Ref159697471"/>
            <w:r w:rsidRPr="002F7EE4">
              <w:rPr>
                <w:i/>
                <w:iCs/>
              </w:rPr>
              <w:t xml:space="preserve">Figure </w:t>
            </w:r>
            <w:r w:rsidRPr="002F7EE4">
              <w:rPr>
                <w:i/>
                <w:iCs/>
              </w:rPr>
              <w:fldChar w:fldCharType="begin"/>
            </w:r>
            <w:r w:rsidRPr="002F7EE4">
              <w:rPr>
                <w:i/>
                <w:iCs/>
              </w:rPr>
              <w:instrText xml:space="preserve"> SEQ Figure \* ARABIC </w:instrText>
            </w:r>
            <w:r w:rsidRPr="002F7EE4">
              <w:rPr>
                <w:i/>
                <w:iCs/>
              </w:rPr>
              <w:fldChar w:fldCharType="separate"/>
            </w:r>
            <w:r w:rsidR="00040CA9">
              <w:rPr>
                <w:i/>
                <w:iCs/>
                <w:noProof/>
              </w:rPr>
              <w:t>1</w:t>
            </w:r>
            <w:r w:rsidRPr="002F7EE4">
              <w:rPr>
                <w:i/>
                <w:iCs/>
                <w:noProof/>
              </w:rPr>
              <w:fldChar w:fldCharType="end"/>
            </w:r>
            <w:bookmarkEnd w:id="28"/>
            <w:r w:rsidRPr="002F7EE4">
              <w:rPr>
                <w:i/>
                <w:iCs/>
              </w:rPr>
              <w:t xml:space="preserve"> Plot of data by KJO, the QM</w:t>
            </w:r>
            <w:r w:rsidR="00167FBA">
              <w:rPr>
                <w:iCs/>
              </w:rPr>
              <w:t>/</w:t>
            </w:r>
            <w:r w:rsidR="00167FBA" w:rsidRPr="00167FBA">
              <w:rPr>
                <w:i/>
              </w:rPr>
              <w:t>ESW</w:t>
            </w:r>
            <w:r w:rsidRPr="002F7EE4">
              <w:rPr>
                <w:i/>
                <w:iCs/>
              </w:rPr>
              <w:t xml:space="preserve"> fit and the BET fit. The line through the data points</w:t>
            </w:r>
            <w:r w:rsidR="00B2104E">
              <w:rPr>
                <w:i/>
                <w:iCs/>
              </w:rPr>
              <w:t xml:space="preserve">, </w:t>
            </w:r>
            <w:proofErr w:type="spellStart"/>
            <w:r w:rsidR="00B2104E" w:rsidRPr="000A7BB8">
              <w:t>X</w:t>
            </w:r>
            <w:r w:rsidR="00B2104E">
              <w:rPr>
                <w:i/>
                <w:iCs/>
              </w:rPr>
              <w:t>s</w:t>
            </w:r>
            <w:proofErr w:type="spellEnd"/>
            <w:r w:rsidR="00B2104E">
              <w:rPr>
                <w:i/>
                <w:iCs/>
              </w:rPr>
              <w:t>,</w:t>
            </w:r>
            <w:r w:rsidRPr="002F7EE4">
              <w:rPr>
                <w:i/>
                <w:iCs/>
              </w:rPr>
              <w:t xml:space="preserve"> is the QM</w:t>
            </w:r>
            <w:r w:rsidR="00167FBA">
              <w:rPr>
                <w:iCs/>
              </w:rPr>
              <w:t>/</w:t>
            </w:r>
            <w:r w:rsidR="00167FBA" w:rsidRPr="00167FBA">
              <w:rPr>
                <w:i/>
              </w:rPr>
              <w:t>ESW</w:t>
            </w:r>
            <w:r w:rsidRPr="002F7EE4">
              <w:rPr>
                <w:i/>
                <w:iCs/>
              </w:rPr>
              <w:t xml:space="preserve"> fit</w:t>
            </w:r>
            <w:r w:rsidR="002F7EE4">
              <w:rPr>
                <w:i/>
                <w:iCs/>
              </w:rPr>
              <w:t>.</w:t>
            </w:r>
            <w:r w:rsidRPr="002F7EE4">
              <w:rPr>
                <w:i/>
                <w:iCs/>
              </w:rPr>
              <w:t xml:space="preserve"> </w:t>
            </w:r>
            <w:r w:rsidR="002F7EE4">
              <w:rPr>
                <w:i/>
                <w:iCs/>
              </w:rPr>
              <w:t>T</w:t>
            </w:r>
            <w:r w:rsidRPr="002F7EE4">
              <w:rPr>
                <w:i/>
                <w:iCs/>
              </w:rPr>
              <w:t xml:space="preserve">he </w:t>
            </w:r>
            <w:r w:rsidR="00BA3A8A">
              <w:rPr>
                <w:i/>
                <w:iCs/>
              </w:rPr>
              <w:lastRenderedPageBreak/>
              <w:t xml:space="preserve">BET </w:t>
            </w:r>
            <w:r w:rsidRPr="002F7EE4">
              <w:rPr>
                <w:i/>
                <w:iCs/>
              </w:rPr>
              <w:t>line is very high at high pressure</w:t>
            </w:r>
            <w:r w:rsidR="00B2104E">
              <w:rPr>
                <w:i/>
                <w:iCs/>
              </w:rPr>
              <w:t xml:space="preserve"> </w:t>
            </w:r>
            <w:r w:rsidR="00B2104E">
              <w:t>(</w:t>
            </w:r>
            <w:r w:rsidR="00B2104E" w:rsidRPr="00B2104E">
              <w:rPr>
                <w:i/>
                <w:iCs/>
              </w:rPr>
              <w:t>High</w:t>
            </w:r>
            <w:r w:rsidR="00B2104E">
              <w:t xml:space="preserve"> Δχ)</w:t>
            </w:r>
            <w:r w:rsidR="00B2104E">
              <w:rPr>
                <w:i/>
                <w:iCs/>
              </w:rPr>
              <w:t xml:space="preserve"> and very low at low P </w:t>
            </w:r>
            <w:r w:rsidR="00B2104E">
              <w:t>(</w:t>
            </w:r>
            <w:r w:rsidR="00B2104E" w:rsidRPr="00B2104E">
              <w:rPr>
                <w:i/>
                <w:iCs/>
              </w:rPr>
              <w:t>low</w:t>
            </w:r>
            <w:r w:rsidR="00B2104E">
              <w:t xml:space="preserve"> Δχ</w:t>
            </w:r>
            <w:r w:rsidR="00BA3A8A">
              <w:t>.</w:t>
            </w:r>
            <w:r w:rsidR="00B2104E">
              <w:t>)</w:t>
            </w:r>
          </w:p>
        </w:tc>
        <w:tc>
          <w:tcPr>
            <w:tcW w:w="4736" w:type="dxa"/>
          </w:tcPr>
          <w:p w14:paraId="52B6E9F4" w14:textId="31206461" w:rsidR="00303F70" w:rsidRDefault="00BA3A8A" w:rsidP="00543A53">
            <w:pPr>
              <w:pStyle w:val="NoSpacing"/>
            </w:pPr>
            <w:r>
              <w:rPr>
                <w:noProof/>
              </w:rPr>
              <w:lastRenderedPageBreak/>
              <w:drawing>
                <wp:inline distT="0" distB="0" distL="0" distR="0" wp14:anchorId="42B7BA00" wp14:editId="50DAFDF2">
                  <wp:extent cx="2960498" cy="2209800"/>
                  <wp:effectExtent l="0" t="0" r="0" b="0"/>
                  <wp:docPr id="1093138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13882" name="Picture 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71400" cy="2217938"/>
                          </a:xfrm>
                          <a:prstGeom prst="rect">
                            <a:avLst/>
                          </a:prstGeom>
                        </pic:spPr>
                      </pic:pic>
                    </a:graphicData>
                  </a:graphic>
                </wp:inline>
              </w:drawing>
            </w:r>
          </w:p>
          <w:p w14:paraId="4E3A280E" w14:textId="711E3E30" w:rsidR="00303F70" w:rsidRPr="00303F70" w:rsidRDefault="00303F70" w:rsidP="00543A53">
            <w:pPr>
              <w:pStyle w:val="NoSpacing"/>
              <w:rPr>
                <w:i/>
                <w:iCs/>
              </w:rPr>
            </w:pPr>
            <w:bookmarkStart w:id="29" w:name="_Ref159697409"/>
            <w:r w:rsidRPr="00303F70">
              <w:rPr>
                <w:i/>
                <w:iCs/>
              </w:rPr>
              <w:t xml:space="preserve">Figure </w:t>
            </w:r>
            <w:r w:rsidRPr="00303F70">
              <w:rPr>
                <w:i/>
                <w:iCs/>
              </w:rPr>
              <w:fldChar w:fldCharType="begin"/>
            </w:r>
            <w:r w:rsidRPr="00303F70">
              <w:rPr>
                <w:i/>
                <w:iCs/>
              </w:rPr>
              <w:instrText xml:space="preserve"> SEQ Figure \* ARABIC </w:instrText>
            </w:r>
            <w:r w:rsidRPr="00303F70">
              <w:rPr>
                <w:i/>
                <w:iCs/>
              </w:rPr>
              <w:fldChar w:fldCharType="separate"/>
            </w:r>
            <w:r w:rsidR="00040CA9">
              <w:rPr>
                <w:i/>
                <w:iCs/>
                <w:noProof/>
              </w:rPr>
              <w:t>2</w:t>
            </w:r>
            <w:r w:rsidRPr="00303F70">
              <w:rPr>
                <w:i/>
                <w:iCs/>
                <w:noProof/>
              </w:rPr>
              <w:fldChar w:fldCharType="end"/>
            </w:r>
            <w:bookmarkEnd w:id="29"/>
            <w:r w:rsidRPr="00303F70">
              <w:rPr>
                <w:i/>
                <w:iCs/>
              </w:rPr>
              <w:t xml:space="preserve"> Plot of Data by KJO for the BET </w:t>
            </w:r>
            <w:r w:rsidR="00FC393A">
              <w:rPr>
                <w:i/>
                <w:iCs/>
              </w:rPr>
              <w:t xml:space="preserve">Rouquerol </w:t>
            </w:r>
            <w:r w:rsidRPr="00303F70">
              <w:rPr>
                <w:i/>
                <w:iCs/>
              </w:rPr>
              <w:t>range</w:t>
            </w:r>
            <w:r w:rsidR="002F7EE4">
              <w:rPr>
                <w:i/>
                <w:iCs/>
              </w:rPr>
              <w:t>.</w:t>
            </w:r>
            <w:r w:rsidRPr="00303F70">
              <w:rPr>
                <w:i/>
                <w:iCs/>
              </w:rPr>
              <w:t xml:space="preserve">  </w:t>
            </w:r>
            <w:r w:rsidR="00CB6F48" w:rsidRPr="00303F70">
              <w:rPr>
                <w:i/>
                <w:iCs/>
              </w:rPr>
              <w:t>QM</w:t>
            </w:r>
            <w:r w:rsidR="00167FBA">
              <w:rPr>
                <w:iCs/>
              </w:rPr>
              <w:t>/</w:t>
            </w:r>
            <w:r w:rsidR="00167FBA" w:rsidRPr="00167FBA">
              <w:rPr>
                <w:i/>
              </w:rPr>
              <w:t>ESW</w:t>
            </w:r>
            <w:r w:rsidR="00CB6F48" w:rsidRPr="00303F70">
              <w:rPr>
                <w:i/>
                <w:iCs/>
              </w:rPr>
              <w:t xml:space="preserve"> fit</w:t>
            </w:r>
            <w:r w:rsidR="00CB6F48">
              <w:rPr>
                <w:i/>
                <w:iCs/>
              </w:rPr>
              <w:t xml:space="preserve"> closely follows </w:t>
            </w:r>
            <w:r w:rsidR="00CB6F48">
              <w:rPr>
                <w:i/>
                <w:iCs/>
              </w:rPr>
              <w:lastRenderedPageBreak/>
              <w:t>the data. T</w:t>
            </w:r>
            <w:r w:rsidRPr="00303F70">
              <w:rPr>
                <w:i/>
                <w:iCs/>
              </w:rPr>
              <w:t xml:space="preserve">he </w:t>
            </w:r>
            <w:r w:rsidR="002F7EE4">
              <w:rPr>
                <w:i/>
                <w:iCs/>
              </w:rPr>
              <w:t xml:space="preserve">best </w:t>
            </w:r>
            <w:r w:rsidRPr="00303F70">
              <w:rPr>
                <w:i/>
                <w:iCs/>
              </w:rPr>
              <w:t>fit</w:t>
            </w:r>
            <w:r w:rsidR="002F7EE4">
              <w:rPr>
                <w:i/>
                <w:iCs/>
              </w:rPr>
              <w:t xml:space="preserve"> in the BET</w:t>
            </w:r>
            <w:r w:rsidR="00443DCA">
              <w:rPr>
                <w:i/>
                <w:iCs/>
              </w:rPr>
              <w:t xml:space="preserve"> Rouquerol</w:t>
            </w:r>
            <w:r w:rsidR="002F7EE4">
              <w:rPr>
                <w:i/>
                <w:iCs/>
              </w:rPr>
              <w:t xml:space="preserve"> range</w:t>
            </w:r>
            <w:r w:rsidR="00FC393A">
              <w:rPr>
                <w:i/>
                <w:iCs/>
              </w:rPr>
              <w:t>, which is the vertical lines,</w:t>
            </w:r>
            <w:r w:rsidR="00CB6F48">
              <w:rPr>
                <w:i/>
                <w:iCs/>
              </w:rPr>
              <w:t xml:space="preserve"> is the curved line</w:t>
            </w:r>
            <w:r w:rsidR="002F7EE4">
              <w:rPr>
                <w:i/>
                <w:iCs/>
              </w:rPr>
              <w:t>.</w:t>
            </w:r>
          </w:p>
        </w:tc>
      </w:tr>
    </w:tbl>
    <w:p w14:paraId="5CD52F96" w14:textId="77777777" w:rsidR="00C22D84" w:rsidRDefault="00C22D84" w:rsidP="00543A53">
      <w:pPr>
        <w:pStyle w:val="NoSpacing"/>
        <w:rPr>
          <w:rFonts w:cs="Times New Roman"/>
        </w:rPr>
      </w:pPr>
    </w:p>
    <w:p w14:paraId="798F6382" w14:textId="304499F8" w:rsidR="00C22D84" w:rsidRDefault="00C22D84" w:rsidP="00543A53">
      <w:pPr>
        <w:pStyle w:val="NoSpacing"/>
        <w:rPr>
          <w:rFonts w:cs="Times New Roman"/>
        </w:rPr>
      </w:pPr>
      <w:r>
        <w:rPr>
          <w:rFonts w:cs="Times New Roman"/>
        </w:rPr>
        <w:t>The QM</w:t>
      </w:r>
      <w:r w:rsidR="00167FBA">
        <w:rPr>
          <w:iCs/>
        </w:rPr>
        <w:t>/ESW</w:t>
      </w:r>
      <w:r>
        <w:rPr>
          <w:rFonts w:cs="Times New Roman"/>
        </w:rPr>
        <w:t xml:space="preserve"> fit is the nearly straight line passing through the data points</w:t>
      </w:r>
      <w:r w:rsidR="00303F70">
        <w:rPr>
          <w:rFonts w:cs="Times New Roman"/>
        </w:rPr>
        <w:t xml:space="preserve">. </w:t>
      </w:r>
      <w:r>
        <w:rPr>
          <w:rFonts w:cs="Times New Roman"/>
        </w:rPr>
        <w:t>The BET fit is the line that for most of the isotherm is far from the data points.  For perspective, mesoporosity begins near χ</w:t>
      </w:r>
      <w:r w:rsidR="002F7EE4">
        <w:rPr>
          <w:rFonts w:cs="Times New Roman"/>
        </w:rPr>
        <w:t> </w:t>
      </w:r>
      <w:r>
        <w:rPr>
          <w:rFonts w:cs="Times New Roman"/>
        </w:rPr>
        <w:t>=</w:t>
      </w:r>
      <w:r w:rsidR="002F7EE4">
        <w:rPr>
          <w:rFonts w:cs="Times New Roman"/>
        </w:rPr>
        <w:t> </w:t>
      </w:r>
      <w:r>
        <w:rPr>
          <w:rFonts w:cs="Times New Roman"/>
        </w:rPr>
        <w:t>0 which in this case is at Δχ = 2.6</w:t>
      </w:r>
      <w:r w:rsidR="001D36D2">
        <w:rPr>
          <w:rFonts w:cs="Times New Roman"/>
        </w:rPr>
        <w:t>, therefore there is no mesoporosity to contend with.</w:t>
      </w:r>
    </w:p>
    <w:p w14:paraId="41BE8EFC" w14:textId="77777777" w:rsidR="007D4CFE" w:rsidRDefault="007D4CFE" w:rsidP="00543A53">
      <w:pPr>
        <w:pStyle w:val="NoSpacing"/>
        <w:rPr>
          <w:rFonts w:cs="Times New Roman"/>
        </w:rPr>
      </w:pPr>
    </w:p>
    <w:tbl>
      <w:tblPr>
        <w:tblStyle w:val="TableGrid"/>
        <w:tblW w:w="0" w:type="auto"/>
        <w:jc w:val="center"/>
        <w:tblLook w:val="04A0" w:firstRow="1" w:lastRow="0" w:firstColumn="1" w:lastColumn="0" w:noHBand="0" w:noVBand="1"/>
      </w:tblPr>
      <w:tblGrid>
        <w:gridCol w:w="4585"/>
        <w:gridCol w:w="4765"/>
      </w:tblGrid>
      <w:tr w:rsidR="00BA3A8A" w14:paraId="3A566051" w14:textId="77777777" w:rsidTr="00A640BF">
        <w:trPr>
          <w:jc w:val="center"/>
        </w:trPr>
        <w:tc>
          <w:tcPr>
            <w:tcW w:w="4585" w:type="dxa"/>
            <w:shd w:val="clear" w:color="auto" w:fill="auto"/>
          </w:tcPr>
          <w:p w14:paraId="0CE96026" w14:textId="1C47CC64" w:rsidR="00303F70" w:rsidRDefault="00BA3A8A" w:rsidP="00543A53">
            <w:pPr>
              <w:pStyle w:val="NoSpacing"/>
            </w:pPr>
            <w:r>
              <w:rPr>
                <w:noProof/>
              </w:rPr>
              <w:drawing>
                <wp:inline distT="0" distB="0" distL="0" distR="0" wp14:anchorId="0978CDD5" wp14:editId="1F8DB839">
                  <wp:extent cx="2723131" cy="1990725"/>
                  <wp:effectExtent l="0" t="0" r="1270" b="0"/>
                  <wp:docPr id="3978296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829614" name="Picture 1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732636" cy="1997673"/>
                          </a:xfrm>
                          <a:prstGeom prst="rect">
                            <a:avLst/>
                          </a:prstGeom>
                        </pic:spPr>
                      </pic:pic>
                    </a:graphicData>
                  </a:graphic>
                </wp:inline>
              </w:drawing>
            </w:r>
          </w:p>
          <w:p w14:paraId="701A5743" w14:textId="19CFE3CF" w:rsidR="00303F70" w:rsidRPr="004D188C" w:rsidRDefault="00303F70" w:rsidP="00543A53">
            <w:pPr>
              <w:pStyle w:val="NoSpacing"/>
              <w:rPr>
                <w:rFonts w:cs="Times New Roman"/>
                <w:szCs w:val="24"/>
              </w:rPr>
            </w:pPr>
            <w:bookmarkStart w:id="30" w:name="_Ref169167759"/>
            <w:r w:rsidRPr="004B4418">
              <w:rPr>
                <w:i/>
                <w:iCs/>
                <w:szCs w:val="24"/>
              </w:rPr>
              <w:t xml:space="preserve">Figure </w:t>
            </w:r>
            <w:r w:rsidRPr="004B4418">
              <w:rPr>
                <w:i/>
                <w:iCs/>
                <w:szCs w:val="24"/>
              </w:rPr>
              <w:fldChar w:fldCharType="begin"/>
            </w:r>
            <w:r w:rsidRPr="004B4418">
              <w:rPr>
                <w:i/>
                <w:iCs/>
                <w:szCs w:val="24"/>
              </w:rPr>
              <w:instrText xml:space="preserve"> SEQ Figure \* ARABIC </w:instrText>
            </w:r>
            <w:r w:rsidRPr="004B4418">
              <w:rPr>
                <w:i/>
                <w:iCs/>
                <w:szCs w:val="24"/>
              </w:rPr>
              <w:fldChar w:fldCharType="separate"/>
            </w:r>
            <w:r w:rsidR="00040CA9" w:rsidRPr="004B4418">
              <w:rPr>
                <w:i/>
                <w:iCs/>
                <w:noProof/>
                <w:szCs w:val="24"/>
              </w:rPr>
              <w:t>3</w:t>
            </w:r>
            <w:r w:rsidRPr="004B4418">
              <w:rPr>
                <w:i/>
                <w:iCs/>
                <w:szCs w:val="24"/>
              </w:rPr>
              <w:fldChar w:fldCharType="end"/>
            </w:r>
            <w:bookmarkEnd w:id="30"/>
            <w:r w:rsidRPr="004B4418">
              <w:rPr>
                <w:i/>
                <w:iCs/>
                <w:szCs w:val="24"/>
              </w:rPr>
              <w:t xml:space="preserve"> </w:t>
            </w:r>
            <w:r w:rsidR="00443DCA">
              <w:rPr>
                <w:i/>
                <w:iCs/>
                <w:szCs w:val="24"/>
              </w:rPr>
              <w:t>Lower pressure p</w:t>
            </w:r>
            <w:r w:rsidRPr="004B4418">
              <w:rPr>
                <w:i/>
                <w:iCs/>
                <w:szCs w:val="24"/>
              </w:rPr>
              <w:t>lot of data by KJO, the QM</w:t>
            </w:r>
            <w:r w:rsidR="00167FBA">
              <w:rPr>
                <w:iCs/>
              </w:rPr>
              <w:t>/</w:t>
            </w:r>
            <w:r w:rsidR="00167FBA" w:rsidRPr="00167FBA">
              <w:rPr>
                <w:i/>
              </w:rPr>
              <w:t>ESW</w:t>
            </w:r>
            <w:r w:rsidRPr="004B4418">
              <w:rPr>
                <w:i/>
                <w:iCs/>
                <w:szCs w:val="24"/>
              </w:rPr>
              <w:t xml:space="preserve"> fit and BET fit. The line through the data points is the QM</w:t>
            </w:r>
            <w:r w:rsidR="00167FBA">
              <w:rPr>
                <w:iCs/>
              </w:rPr>
              <w:t>/</w:t>
            </w:r>
            <w:r w:rsidR="00167FBA" w:rsidRPr="00167FBA">
              <w:rPr>
                <w:i/>
              </w:rPr>
              <w:t>ESW</w:t>
            </w:r>
            <w:r w:rsidRPr="004B4418">
              <w:rPr>
                <w:i/>
                <w:iCs/>
                <w:szCs w:val="24"/>
              </w:rPr>
              <w:t xml:space="preserve"> fit</w:t>
            </w:r>
            <w:r w:rsidR="002F7EE4" w:rsidRPr="004B4418">
              <w:rPr>
                <w:i/>
                <w:iCs/>
                <w:szCs w:val="24"/>
              </w:rPr>
              <w:t>. T</w:t>
            </w:r>
            <w:r w:rsidRPr="004B4418">
              <w:rPr>
                <w:i/>
                <w:iCs/>
                <w:szCs w:val="24"/>
              </w:rPr>
              <w:t>he curved line is the BET fit line</w:t>
            </w:r>
            <w:r w:rsidRPr="00303F70">
              <w:rPr>
                <w:szCs w:val="24"/>
              </w:rPr>
              <w:t>.</w:t>
            </w:r>
          </w:p>
        </w:tc>
        <w:tc>
          <w:tcPr>
            <w:tcW w:w="4765" w:type="dxa"/>
            <w:shd w:val="clear" w:color="auto" w:fill="auto"/>
          </w:tcPr>
          <w:p w14:paraId="10DDA169" w14:textId="77777777" w:rsidR="004B4418" w:rsidRDefault="00BA3A8A" w:rsidP="00543A53">
            <w:pPr>
              <w:pStyle w:val="NoSpacing"/>
              <w:rPr>
                <w:i/>
                <w:iCs/>
              </w:rPr>
            </w:pPr>
            <w:bookmarkStart w:id="31" w:name="_Ref169167828"/>
            <w:bookmarkStart w:id="32" w:name="_Ref159694499"/>
            <w:r>
              <w:rPr>
                <w:i/>
                <w:iCs/>
                <w:noProof/>
              </w:rPr>
              <w:drawing>
                <wp:inline distT="0" distB="0" distL="0" distR="0" wp14:anchorId="6E2CD800" wp14:editId="712124CD">
                  <wp:extent cx="2619183" cy="1962150"/>
                  <wp:effectExtent l="0" t="0" r="0" b="0"/>
                  <wp:docPr id="1487209546" name="Picture 1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209546" name="Picture 11" descr="A graph of a functi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683429" cy="2010280"/>
                          </a:xfrm>
                          <a:prstGeom prst="rect">
                            <a:avLst/>
                          </a:prstGeom>
                        </pic:spPr>
                      </pic:pic>
                    </a:graphicData>
                  </a:graphic>
                </wp:inline>
              </w:drawing>
            </w:r>
          </w:p>
          <w:p w14:paraId="3D928DCA" w14:textId="01BFC041" w:rsidR="00303F70" w:rsidRPr="00BB5988" w:rsidRDefault="00BB5988" w:rsidP="00543A53">
            <w:pPr>
              <w:pStyle w:val="NoSpacing"/>
            </w:pPr>
            <w:bookmarkStart w:id="33" w:name="_Ref171009871"/>
            <w:r w:rsidRPr="00A32ADA">
              <w:rPr>
                <w:i/>
                <w:iCs/>
              </w:rPr>
              <w:t xml:space="preserve">Figure </w:t>
            </w:r>
            <w:r w:rsidRPr="00A32ADA">
              <w:rPr>
                <w:i/>
                <w:iCs/>
              </w:rPr>
              <w:fldChar w:fldCharType="begin"/>
            </w:r>
            <w:r w:rsidRPr="00A32ADA">
              <w:rPr>
                <w:i/>
                <w:iCs/>
              </w:rPr>
              <w:instrText xml:space="preserve"> SEQ Figure \* ARABIC </w:instrText>
            </w:r>
            <w:r w:rsidRPr="00A32ADA">
              <w:rPr>
                <w:i/>
                <w:iCs/>
              </w:rPr>
              <w:fldChar w:fldCharType="separate"/>
            </w:r>
            <w:r w:rsidR="00040CA9">
              <w:rPr>
                <w:i/>
                <w:iCs/>
                <w:noProof/>
              </w:rPr>
              <w:t>4</w:t>
            </w:r>
            <w:r w:rsidRPr="00A32ADA">
              <w:rPr>
                <w:i/>
                <w:iCs/>
              </w:rPr>
              <w:fldChar w:fldCharType="end"/>
            </w:r>
            <w:bookmarkEnd w:id="31"/>
            <w:bookmarkEnd w:id="32"/>
            <w:bookmarkEnd w:id="33"/>
            <w:r w:rsidRPr="00BB5988">
              <w:rPr>
                <w:i/>
                <w:iCs/>
              </w:rPr>
              <w:t xml:space="preserve"> </w:t>
            </w:r>
            <w:r w:rsidR="00A32ADA">
              <w:rPr>
                <w:i/>
                <w:iCs/>
              </w:rPr>
              <w:t>Low pressure p</w:t>
            </w:r>
            <w:r w:rsidRPr="00BB5988">
              <w:rPr>
                <w:i/>
                <w:iCs/>
              </w:rPr>
              <w:t>lot of data by KJO, the QM</w:t>
            </w:r>
            <w:r w:rsidR="00167FBA">
              <w:rPr>
                <w:iCs/>
              </w:rPr>
              <w:t>/</w:t>
            </w:r>
            <w:r w:rsidR="00167FBA" w:rsidRPr="00167FBA">
              <w:rPr>
                <w:i/>
              </w:rPr>
              <w:t>ESW</w:t>
            </w:r>
            <w:r w:rsidRPr="00BB5988">
              <w:rPr>
                <w:i/>
                <w:iCs/>
              </w:rPr>
              <w:t xml:space="preserve"> fit and BET fit. The </w:t>
            </w:r>
            <w:r w:rsidR="00D46C32">
              <w:rPr>
                <w:i/>
                <w:iCs/>
              </w:rPr>
              <w:t xml:space="preserve">straight </w:t>
            </w:r>
            <w:r w:rsidRPr="00BB5988">
              <w:rPr>
                <w:i/>
                <w:iCs/>
              </w:rPr>
              <w:t xml:space="preserve">line </w:t>
            </w:r>
            <w:r w:rsidR="00D46C32">
              <w:rPr>
                <w:i/>
                <w:iCs/>
              </w:rPr>
              <w:t>is QM</w:t>
            </w:r>
            <w:r w:rsidR="00167FBA">
              <w:rPr>
                <w:iCs/>
              </w:rPr>
              <w:t>/</w:t>
            </w:r>
            <w:r w:rsidR="00167FBA" w:rsidRPr="00167FBA">
              <w:rPr>
                <w:i/>
              </w:rPr>
              <w:t>ESW</w:t>
            </w:r>
            <w:r w:rsidR="00D46C32">
              <w:rPr>
                <w:i/>
                <w:iCs/>
              </w:rPr>
              <w:t xml:space="preserve"> linear fit</w:t>
            </w:r>
            <w:r w:rsidR="00443DCA">
              <w:rPr>
                <w:i/>
                <w:iCs/>
              </w:rPr>
              <w:t>,</w:t>
            </w:r>
            <w:r w:rsidR="00D46C32">
              <w:rPr>
                <w:i/>
                <w:iCs/>
              </w:rPr>
              <w:t xml:space="preserve"> the upper curved line is NLLS</w:t>
            </w:r>
            <w:r w:rsidRPr="00BB5988">
              <w:rPr>
                <w:i/>
                <w:iCs/>
              </w:rPr>
              <w:t xml:space="preserve"> QM</w:t>
            </w:r>
            <w:r w:rsidR="00167FBA">
              <w:rPr>
                <w:iCs/>
              </w:rPr>
              <w:t>/</w:t>
            </w:r>
            <w:r w:rsidR="00167FBA" w:rsidRPr="00167FBA">
              <w:rPr>
                <w:i/>
              </w:rPr>
              <w:t>ESW</w:t>
            </w:r>
            <w:r w:rsidRPr="00BB5988">
              <w:rPr>
                <w:i/>
                <w:iCs/>
              </w:rPr>
              <w:t xml:space="preserve"> fit</w:t>
            </w:r>
            <w:r w:rsidR="00443DCA">
              <w:rPr>
                <w:i/>
                <w:iCs/>
              </w:rPr>
              <w:t xml:space="preserve"> and t</w:t>
            </w:r>
            <w:r w:rsidRPr="00BB5988">
              <w:rPr>
                <w:i/>
                <w:iCs/>
              </w:rPr>
              <w:t>he line at the bottom is the BET fit line.</w:t>
            </w:r>
          </w:p>
        </w:tc>
      </w:tr>
    </w:tbl>
    <w:p w14:paraId="4381BC42" w14:textId="77777777" w:rsidR="004B4418" w:rsidRDefault="004B4418" w:rsidP="00543A53">
      <w:pPr>
        <w:pStyle w:val="NoSpacing"/>
        <w:rPr>
          <w:rFonts w:cs="Times New Roman"/>
          <w:i/>
          <w:iCs/>
        </w:rPr>
      </w:pPr>
    </w:p>
    <w:p w14:paraId="57FD92D1" w14:textId="343F3D01" w:rsidR="00C22D84" w:rsidRDefault="00F93ABC" w:rsidP="00543A53">
      <w:pPr>
        <w:pStyle w:val="NoSpacing"/>
        <w:rPr>
          <w:rFonts w:cs="Times New Roman"/>
        </w:rPr>
      </w:pPr>
      <w:r>
        <w:rPr>
          <w:rFonts w:cs="Times New Roman"/>
        </w:rPr>
        <w:fldChar w:fldCharType="begin"/>
      </w:r>
      <w:r>
        <w:rPr>
          <w:rFonts w:cs="Times New Roman"/>
        </w:rPr>
        <w:instrText xml:space="preserve"> REF _Ref159697471 \h </w:instrText>
      </w:r>
      <w:r>
        <w:rPr>
          <w:rFonts w:cs="Times New Roman"/>
        </w:rPr>
      </w:r>
      <w:r>
        <w:rPr>
          <w:rFonts w:cs="Times New Roman"/>
        </w:rPr>
        <w:fldChar w:fldCharType="separate"/>
      </w:r>
      <w:r w:rsidR="00040CA9" w:rsidRPr="002F7EE4">
        <w:rPr>
          <w:i/>
          <w:iCs/>
        </w:rPr>
        <w:t xml:space="preserve">Figure </w:t>
      </w:r>
      <w:r w:rsidR="00040CA9">
        <w:rPr>
          <w:i/>
          <w:iCs/>
          <w:noProof/>
        </w:rPr>
        <w:t>1</w:t>
      </w:r>
      <w:r>
        <w:rPr>
          <w:rFonts w:cs="Times New Roman"/>
        </w:rPr>
        <w:fldChar w:fldCharType="end"/>
      </w:r>
      <w:r w:rsidR="00C22D84">
        <w:rPr>
          <w:rFonts w:cs="Times New Roman"/>
        </w:rPr>
        <w:t xml:space="preserve"> shows the overall fit which for the QM</w:t>
      </w:r>
      <w:r w:rsidR="00167FBA">
        <w:rPr>
          <w:iCs/>
        </w:rPr>
        <w:t>/ESW</w:t>
      </w:r>
      <w:r w:rsidR="00C22D84">
        <w:rPr>
          <w:rFonts w:cs="Times New Roman"/>
        </w:rPr>
        <w:t xml:space="preserve"> model is very good, but for the BET is very far off except for the range specified for the BET. The high pressure has always been discounted for the BET, although there is no theoretical reason</w:t>
      </w:r>
      <w:r w:rsidR="002B3876">
        <w:rPr>
          <w:rFonts w:cs="Times New Roman"/>
        </w:rPr>
        <w:t xml:space="preserve"> other than </w:t>
      </w:r>
      <w:r w:rsidR="00C22D84">
        <w:rPr>
          <w:rFonts w:cs="Times New Roman"/>
        </w:rPr>
        <w:t>it does</w:t>
      </w:r>
      <w:r w:rsidR="00750202">
        <w:rPr>
          <w:rFonts w:cs="Times New Roman"/>
        </w:rPr>
        <w:t xml:space="preserve"> </w:t>
      </w:r>
      <w:r w:rsidR="00C22D84">
        <w:rPr>
          <w:rFonts w:cs="Times New Roman"/>
        </w:rPr>
        <w:t>n</w:t>
      </w:r>
      <w:r w:rsidR="00750202">
        <w:rPr>
          <w:rFonts w:cs="Times New Roman"/>
        </w:rPr>
        <w:t>o</w:t>
      </w:r>
      <w:r w:rsidR="00C22D84">
        <w:rPr>
          <w:rFonts w:cs="Times New Roman"/>
        </w:rPr>
        <w:t xml:space="preserve">t work. </w:t>
      </w:r>
      <w:r w:rsidR="00CD63CE">
        <w:rPr>
          <w:rFonts w:cs="Times New Roman"/>
        </w:rPr>
        <w:t xml:space="preserve"> The low pressure was normally not measure</w:t>
      </w:r>
      <w:r w:rsidR="00531C59">
        <w:rPr>
          <w:rFonts w:cs="Times New Roman"/>
        </w:rPr>
        <w:t>d</w:t>
      </w:r>
      <w:r w:rsidR="00CD63CE">
        <w:rPr>
          <w:rFonts w:cs="Times New Roman"/>
        </w:rPr>
        <w:t xml:space="preserve"> partly due to instrument limitations, but also by tradition.</w:t>
      </w:r>
    </w:p>
    <w:p w14:paraId="27BF23E3" w14:textId="77777777" w:rsidR="001D36D2" w:rsidRDefault="001D36D2" w:rsidP="00543A53">
      <w:pPr>
        <w:pStyle w:val="NoSpacing"/>
        <w:rPr>
          <w:rFonts w:cs="Times New Roman"/>
        </w:rPr>
      </w:pPr>
    </w:p>
    <w:p w14:paraId="35F6529D" w14:textId="347E7862" w:rsidR="00C22D84" w:rsidRPr="008322E5" w:rsidRDefault="008322E5" w:rsidP="00543A53">
      <w:pPr>
        <w:pStyle w:val="NoSpacing"/>
        <w:rPr>
          <w:rFonts w:cs="Times New Roman"/>
        </w:rPr>
      </w:pPr>
      <w:r>
        <w:rPr>
          <w:rFonts w:cs="Times New Roman"/>
          <w:i/>
          <w:iCs/>
        </w:rPr>
        <w:fldChar w:fldCharType="begin"/>
      </w:r>
      <w:r>
        <w:rPr>
          <w:rFonts w:cs="Times New Roman"/>
          <w:i/>
          <w:iCs/>
        </w:rPr>
        <w:instrText xml:space="preserve"> REF _Ref159697409 \h </w:instrText>
      </w:r>
      <w:r>
        <w:rPr>
          <w:rFonts w:cs="Times New Roman"/>
          <w:i/>
          <w:iCs/>
        </w:rPr>
      </w:r>
      <w:r>
        <w:rPr>
          <w:rFonts w:cs="Times New Roman"/>
          <w:i/>
          <w:iCs/>
        </w:rPr>
        <w:fldChar w:fldCharType="separate"/>
      </w:r>
      <w:r w:rsidR="00040CA9" w:rsidRPr="00303F70">
        <w:rPr>
          <w:i/>
          <w:iCs/>
        </w:rPr>
        <w:t xml:space="preserve">Figure </w:t>
      </w:r>
      <w:r w:rsidR="00040CA9">
        <w:rPr>
          <w:i/>
          <w:iCs/>
          <w:noProof/>
        </w:rPr>
        <w:t>2</w:t>
      </w:r>
      <w:r>
        <w:rPr>
          <w:rFonts w:cs="Times New Roman"/>
          <w:i/>
          <w:iCs/>
        </w:rPr>
        <w:fldChar w:fldCharType="end"/>
      </w:r>
      <w:r w:rsidR="00C22D84">
        <w:rPr>
          <w:rFonts w:cs="Times New Roman"/>
          <w:i/>
          <w:iCs/>
        </w:rPr>
        <w:t xml:space="preserve"> </w:t>
      </w:r>
      <w:r w:rsidR="00C22D84" w:rsidRPr="00E91E22">
        <w:rPr>
          <w:rFonts w:cs="Times New Roman"/>
        </w:rPr>
        <w:t>expands the BET rang</w:t>
      </w:r>
      <w:r w:rsidR="00C22D84">
        <w:rPr>
          <w:rFonts w:cs="Times New Roman"/>
        </w:rPr>
        <w:t>e</w:t>
      </w:r>
      <w:r w:rsidR="00C22D84" w:rsidRPr="00E91E22">
        <w:rPr>
          <w:rFonts w:cs="Times New Roman"/>
        </w:rPr>
        <w:t xml:space="preserve"> an</w:t>
      </w:r>
      <w:r w:rsidR="00C22D84">
        <w:rPr>
          <w:rFonts w:cs="Times New Roman"/>
        </w:rPr>
        <w:t>d</w:t>
      </w:r>
      <w:r w:rsidR="00C22D84" w:rsidRPr="00E91E22">
        <w:rPr>
          <w:rFonts w:cs="Times New Roman"/>
        </w:rPr>
        <w:t xml:space="preserve"> why it give</w:t>
      </w:r>
      <w:r w:rsidR="00C22D84">
        <w:rPr>
          <w:rFonts w:cs="Times New Roman"/>
        </w:rPr>
        <w:t>s</w:t>
      </w:r>
      <w:r w:rsidR="00C22D84" w:rsidRPr="00E91E22">
        <w:rPr>
          <w:rFonts w:cs="Times New Roman"/>
        </w:rPr>
        <w:t xml:space="preserve"> an indication of a straight line.</w:t>
      </w:r>
      <w:r w:rsidR="00C22D84">
        <w:rPr>
          <w:rFonts w:cs="Times New Roman"/>
        </w:rPr>
        <w:t xml:space="preserve">  </w:t>
      </w:r>
      <w:r w:rsidR="00750202">
        <w:rPr>
          <w:rFonts w:cs="Times New Roman"/>
        </w:rPr>
        <w:t xml:space="preserve">The two vertical lines are the criteria, </w:t>
      </w:r>
      <w:r w:rsidR="00750202">
        <w:rPr>
          <w:rFonts w:cs="Times New Roman"/>
          <w:i/>
          <w:iCs/>
        </w:rPr>
        <w:t>X</w:t>
      </w:r>
      <w:r w:rsidR="00750202">
        <w:rPr>
          <w:rFonts w:cs="Times New Roman"/>
        </w:rPr>
        <w:t xml:space="preserve"> = 0.01 and </w:t>
      </w:r>
      <w:r w:rsidR="00750202">
        <w:rPr>
          <w:rFonts w:cs="Times New Roman"/>
          <w:i/>
          <w:iCs/>
        </w:rPr>
        <w:t>X</w:t>
      </w:r>
      <w:r w:rsidR="00750202">
        <w:rPr>
          <w:rFonts w:cs="Times New Roman"/>
        </w:rPr>
        <w:t xml:space="preserve"> = “Rouquerol criterion.”  </w:t>
      </w:r>
      <w:r w:rsidR="000F1D16">
        <w:rPr>
          <w:rFonts w:cs="Times New Roman"/>
        </w:rPr>
        <w:t>Perhaps by serendipity, t</w:t>
      </w:r>
      <w:r w:rsidR="00C22D84">
        <w:rPr>
          <w:rFonts w:cs="Times New Roman"/>
        </w:rPr>
        <w:t>he range is</w:t>
      </w:r>
      <w:r w:rsidR="00750202">
        <w:rPr>
          <w:rFonts w:cs="Times New Roman"/>
        </w:rPr>
        <w:t xml:space="preserve"> </w:t>
      </w:r>
      <w:r w:rsidR="00C22D84">
        <w:rPr>
          <w:rFonts w:cs="Times New Roman"/>
        </w:rPr>
        <w:t>selected so that the negative deviation and positive deviation cancel somewhat.  However, in this case, the deviation is 0.0</w:t>
      </w:r>
      <w:r w:rsidR="001D36D2">
        <w:rPr>
          <w:rFonts w:cs="Times New Roman"/>
        </w:rPr>
        <w:t>604</w:t>
      </w:r>
      <w:r w:rsidR="00C22D84">
        <w:rPr>
          <w:rFonts w:cs="Times New Roman"/>
        </w:rPr>
        <w:t xml:space="preserve"> mmol g</w:t>
      </w:r>
      <w:r w:rsidR="00C22D84" w:rsidRPr="00E91E22">
        <w:rPr>
          <w:rFonts w:cs="Times New Roman"/>
          <w:vertAlign w:val="superscript"/>
        </w:rPr>
        <w:t>-1</w:t>
      </w:r>
      <w:r w:rsidR="00C22D84" w:rsidRPr="00E91E22">
        <w:rPr>
          <w:rFonts w:cs="Times New Roman"/>
        </w:rPr>
        <w:t xml:space="preserve"> or</w:t>
      </w:r>
      <w:r w:rsidR="00C22D84">
        <w:rPr>
          <w:rFonts w:cs="Times New Roman"/>
        </w:rPr>
        <w:t xml:space="preserve"> </w:t>
      </w:r>
      <w:r w:rsidR="001D36D2">
        <w:rPr>
          <w:rFonts w:cs="Times New Roman"/>
        </w:rPr>
        <w:t>4</w:t>
      </w:r>
      <w:r w:rsidR="00C22D84">
        <w:rPr>
          <w:rFonts w:cs="Times New Roman"/>
        </w:rPr>
        <w:t>.</w:t>
      </w:r>
      <w:r w:rsidR="001D36D2">
        <w:rPr>
          <w:rFonts w:cs="Times New Roman"/>
        </w:rPr>
        <w:t>7</w:t>
      </w:r>
      <w:r w:rsidR="00C22D84">
        <w:rPr>
          <w:rFonts w:cs="Times New Roman"/>
        </w:rPr>
        <w:t xml:space="preserve"> % </w:t>
      </w:r>
      <w:r w:rsidR="001D36D2">
        <w:rPr>
          <w:rFonts w:cs="Times New Roman"/>
        </w:rPr>
        <w:t>FDR.</w:t>
      </w:r>
      <w:r w:rsidR="00C22D84">
        <w:rPr>
          <w:rFonts w:cs="Times New Roman"/>
        </w:rPr>
        <w:t xml:space="preserve">  Without the lower limit this increases to 1</w:t>
      </w:r>
      <w:r w:rsidR="001D36D2">
        <w:rPr>
          <w:rFonts w:cs="Times New Roman"/>
        </w:rPr>
        <w:t>5</w:t>
      </w:r>
      <w:r w:rsidR="00C22D84">
        <w:rPr>
          <w:rFonts w:cs="Times New Roman"/>
        </w:rPr>
        <w:t xml:space="preserve">.5 % </w:t>
      </w:r>
      <w:r w:rsidR="001D36D2">
        <w:rPr>
          <w:rFonts w:cs="Times New Roman"/>
        </w:rPr>
        <w:t>FDR</w:t>
      </w:r>
      <w:r w:rsidR="00C22D84">
        <w:rPr>
          <w:rFonts w:cs="Times New Roman"/>
        </w:rPr>
        <w:t>.</w:t>
      </w:r>
      <w:r>
        <w:rPr>
          <w:rFonts w:cs="Times New Roman"/>
        </w:rPr>
        <w:t xml:space="preserve">  These deviations are for </w:t>
      </w:r>
      <w:r>
        <w:rPr>
          <w:rFonts w:cs="Times New Roman"/>
          <w:i/>
          <w:iCs/>
        </w:rPr>
        <w:t>n</w:t>
      </w:r>
      <w:r>
        <w:rPr>
          <w:rFonts w:cs="Times New Roman"/>
          <w:vertAlign w:val="subscript"/>
        </w:rPr>
        <w:t>a</w:t>
      </w:r>
      <w:r>
        <w:rPr>
          <w:rFonts w:cs="Times New Roman"/>
        </w:rPr>
        <w:t xml:space="preserve"> and not for the BET transformed ordinate, which is traditional since usually a linear regression is used on the transformed plot.</w:t>
      </w:r>
    </w:p>
    <w:p w14:paraId="0769D2F9" w14:textId="77777777" w:rsidR="00345EE2" w:rsidRDefault="00345EE2" w:rsidP="00543A53">
      <w:pPr>
        <w:pStyle w:val="NoSpacing"/>
        <w:rPr>
          <w:rFonts w:cs="Times New Roman"/>
        </w:rPr>
      </w:pPr>
    </w:p>
    <w:p w14:paraId="45CC2016" w14:textId="79141C77" w:rsidR="00C22D84" w:rsidRDefault="00C22D84" w:rsidP="00543A53">
      <w:pPr>
        <w:pStyle w:val="NoSpacing"/>
        <w:rPr>
          <w:rFonts w:cs="Times New Roman"/>
        </w:rPr>
      </w:pPr>
      <w:r>
        <w:rPr>
          <w:rFonts w:cs="Times New Roman"/>
        </w:rPr>
        <w:t xml:space="preserve">In </w:t>
      </w:r>
      <w:r w:rsidR="008322E5" w:rsidRPr="008322E5">
        <w:rPr>
          <w:rFonts w:cs="Times New Roman"/>
          <w:i/>
          <w:iCs/>
        </w:rPr>
        <w:fldChar w:fldCharType="begin"/>
      </w:r>
      <w:r w:rsidR="008322E5" w:rsidRPr="008322E5">
        <w:rPr>
          <w:rFonts w:cs="Times New Roman"/>
          <w:i/>
          <w:iCs/>
        </w:rPr>
        <w:instrText xml:space="preserve"> REF _Ref169167759 \h </w:instrText>
      </w:r>
      <w:r w:rsidR="008322E5">
        <w:rPr>
          <w:rFonts w:cs="Times New Roman"/>
          <w:i/>
          <w:iCs/>
        </w:rPr>
        <w:instrText xml:space="preserve"> \* MERGEFORMAT </w:instrText>
      </w:r>
      <w:r w:rsidR="008322E5" w:rsidRPr="008322E5">
        <w:rPr>
          <w:rFonts w:cs="Times New Roman"/>
          <w:i/>
          <w:iCs/>
        </w:rPr>
      </w:r>
      <w:r w:rsidR="008322E5" w:rsidRPr="008322E5">
        <w:rPr>
          <w:rFonts w:cs="Times New Roman"/>
          <w:i/>
          <w:iCs/>
        </w:rPr>
        <w:fldChar w:fldCharType="separate"/>
      </w:r>
      <w:r w:rsidR="00040CA9" w:rsidRPr="00040CA9">
        <w:rPr>
          <w:i/>
          <w:iCs/>
          <w:szCs w:val="24"/>
        </w:rPr>
        <w:t xml:space="preserve">Figure </w:t>
      </w:r>
      <w:r w:rsidR="00040CA9" w:rsidRPr="00040CA9">
        <w:rPr>
          <w:i/>
          <w:iCs/>
          <w:noProof/>
          <w:szCs w:val="24"/>
        </w:rPr>
        <w:t>3</w:t>
      </w:r>
      <w:r w:rsidR="008322E5" w:rsidRPr="008322E5">
        <w:rPr>
          <w:rFonts w:cs="Times New Roman"/>
          <w:i/>
          <w:iCs/>
        </w:rPr>
        <w:fldChar w:fldCharType="end"/>
      </w:r>
      <w:r w:rsidRPr="008322E5">
        <w:rPr>
          <w:rFonts w:cs="Times New Roman"/>
          <w:i/>
          <w:iCs/>
        </w:rPr>
        <w:t xml:space="preserve"> </w:t>
      </w:r>
      <w:r>
        <w:rPr>
          <w:rFonts w:cs="Times New Roman"/>
        </w:rPr>
        <w:t>is another magnification for the BET range.  It also shows more clearly how good the QM</w:t>
      </w:r>
      <w:r w:rsidR="00167FBA">
        <w:rPr>
          <w:iCs/>
        </w:rPr>
        <w:t>/ESW</w:t>
      </w:r>
      <w:r>
        <w:rPr>
          <w:rFonts w:cs="Times New Roman"/>
        </w:rPr>
        <w:t xml:space="preserve"> fit is.</w:t>
      </w:r>
    </w:p>
    <w:p w14:paraId="074FAE1F" w14:textId="77777777" w:rsidR="00345EE2" w:rsidRDefault="00345EE2" w:rsidP="00543A53">
      <w:pPr>
        <w:pStyle w:val="NoSpacing"/>
        <w:rPr>
          <w:rFonts w:cs="Times New Roman"/>
        </w:rPr>
      </w:pPr>
    </w:p>
    <w:p w14:paraId="0FE007E4" w14:textId="53C1DF4B" w:rsidR="00345EE2" w:rsidRDefault="00C22D84" w:rsidP="00543A53">
      <w:pPr>
        <w:pStyle w:val="NoSpacing"/>
        <w:rPr>
          <w:rFonts w:cs="Times New Roman"/>
        </w:rPr>
      </w:pPr>
      <w:r>
        <w:rPr>
          <w:rFonts w:cs="Times New Roman"/>
        </w:rPr>
        <w:t xml:space="preserve">In </w:t>
      </w:r>
      <w:r w:rsidR="008322E5">
        <w:rPr>
          <w:rFonts w:cs="Times New Roman"/>
        </w:rPr>
        <w:fldChar w:fldCharType="begin"/>
      </w:r>
      <w:r w:rsidR="008322E5">
        <w:rPr>
          <w:rFonts w:cs="Times New Roman"/>
        </w:rPr>
        <w:instrText xml:space="preserve"> REF _Ref169167828 \h </w:instrText>
      </w:r>
      <w:r w:rsidR="008322E5">
        <w:rPr>
          <w:rFonts w:cs="Times New Roman"/>
        </w:rPr>
      </w:r>
      <w:r w:rsidR="008322E5">
        <w:rPr>
          <w:rFonts w:cs="Times New Roman"/>
        </w:rPr>
        <w:fldChar w:fldCharType="separate"/>
      </w:r>
      <w:r w:rsidR="00040CA9" w:rsidRPr="00A32ADA">
        <w:rPr>
          <w:i/>
          <w:iCs/>
        </w:rPr>
        <w:t xml:space="preserve">Figure </w:t>
      </w:r>
      <w:r w:rsidR="00040CA9">
        <w:rPr>
          <w:i/>
          <w:iCs/>
          <w:noProof/>
        </w:rPr>
        <w:t>4</w:t>
      </w:r>
      <w:r w:rsidR="008322E5">
        <w:rPr>
          <w:rFonts w:cs="Times New Roman"/>
        </w:rPr>
        <w:fldChar w:fldCharType="end"/>
      </w:r>
      <w:r>
        <w:rPr>
          <w:rFonts w:cs="Times New Roman"/>
        </w:rPr>
        <w:t xml:space="preserve"> is the very low-pressure data with the correction for heterogeneity.  This normally shows up only in the </w:t>
      </w:r>
      <w:r w:rsidR="009070D5">
        <w:rPr>
          <w:rFonts w:cs="Times New Roman"/>
        </w:rPr>
        <w:t>High Vacuum (</w:t>
      </w:r>
      <w:r w:rsidR="008D6642">
        <w:rPr>
          <w:rFonts w:cs="Times New Roman"/>
        </w:rPr>
        <w:t>HV</w:t>
      </w:r>
      <w:r w:rsidR="009070D5">
        <w:rPr>
          <w:rFonts w:cs="Times New Roman"/>
        </w:rPr>
        <w:t>)</w:t>
      </w:r>
      <w:r w:rsidR="008D6642">
        <w:rPr>
          <w:rFonts w:cs="Times New Roman"/>
        </w:rPr>
        <w:t xml:space="preserve"> or even </w:t>
      </w:r>
      <w:r w:rsidR="009070D5">
        <w:rPr>
          <w:rFonts w:cs="Times New Roman"/>
        </w:rPr>
        <w:t>Ultra HV (</w:t>
      </w:r>
      <w:r w:rsidR="008D6642">
        <w:rPr>
          <w:rFonts w:cs="Times New Roman"/>
        </w:rPr>
        <w:t>UHV</w:t>
      </w:r>
      <w:r w:rsidR="009070D5">
        <w:rPr>
          <w:rFonts w:cs="Times New Roman"/>
        </w:rPr>
        <w:t>)</w:t>
      </w:r>
      <w:r w:rsidR="008D6642">
        <w:rPr>
          <w:rFonts w:cs="Times New Roman"/>
        </w:rPr>
        <w:t xml:space="preserve"> </w:t>
      </w:r>
      <w:r>
        <w:rPr>
          <w:rFonts w:cs="Times New Roman"/>
        </w:rPr>
        <w:t xml:space="preserve">pressure range.  The </w:t>
      </w:r>
      <w:r w:rsidR="000F1D16" w:rsidRPr="000F1D16">
        <w:rPr>
          <w:rFonts w:cs="Times New Roman"/>
          <w:i/>
          <w:iCs/>
        </w:rPr>
        <w:fldChar w:fldCharType="begin"/>
      </w:r>
      <w:r w:rsidR="000F1D16" w:rsidRPr="000F1D16">
        <w:rPr>
          <w:rFonts w:cs="Times New Roman"/>
          <w:i/>
          <w:iCs/>
        </w:rPr>
        <w:instrText xml:space="preserve"> REF _Ref169163402 \h </w:instrText>
      </w:r>
      <w:r w:rsidR="000F1D16">
        <w:rPr>
          <w:rFonts w:cs="Times New Roman"/>
          <w:i/>
          <w:iCs/>
        </w:rPr>
        <w:instrText xml:space="preserve"> \* MERGEFORMAT </w:instrText>
      </w:r>
      <w:r w:rsidR="000F1D16" w:rsidRPr="000F1D16">
        <w:rPr>
          <w:rFonts w:cs="Times New Roman"/>
          <w:i/>
          <w:iCs/>
        </w:rPr>
      </w:r>
      <w:r w:rsidR="000F1D16" w:rsidRPr="000F1D16">
        <w:rPr>
          <w:rFonts w:cs="Times New Roman"/>
          <w:i/>
          <w:iCs/>
        </w:rPr>
        <w:fldChar w:fldCharType="separate"/>
      </w:r>
      <w:r w:rsidR="00040CA9" w:rsidRPr="00040CA9">
        <w:rPr>
          <w:i/>
          <w:iCs/>
          <w:szCs w:val="24"/>
        </w:rPr>
        <w:t xml:space="preserve">Equation </w:t>
      </w:r>
      <w:r w:rsidR="00040CA9" w:rsidRPr="00040CA9">
        <w:rPr>
          <w:i/>
          <w:iCs/>
          <w:noProof/>
          <w:szCs w:val="24"/>
        </w:rPr>
        <w:t>5</w:t>
      </w:r>
      <w:r w:rsidR="000F1D16" w:rsidRPr="000F1D16">
        <w:rPr>
          <w:rFonts w:cs="Times New Roman"/>
          <w:i/>
          <w:iCs/>
        </w:rPr>
        <w:fldChar w:fldCharType="end"/>
      </w:r>
      <w:r>
        <w:rPr>
          <w:rFonts w:cs="Times New Roman"/>
        </w:rPr>
        <w:t xml:space="preserve"> is modified by the statistical “area” function, which normally has the symbol </w:t>
      </w:r>
      <w:r w:rsidRPr="008D6642">
        <w:rPr>
          <w:rFonts w:cs="Times New Roman"/>
          <w:b/>
          <w:bCs/>
          <w:i/>
          <w:iCs/>
        </w:rPr>
        <w:t>Z</w:t>
      </w:r>
      <w:r>
        <w:rPr>
          <w:rFonts w:cs="Times New Roman"/>
          <w:i/>
          <w:iCs/>
        </w:rPr>
        <w:t xml:space="preserve"> </w:t>
      </w:r>
      <w:r>
        <w:rPr>
          <w:rFonts w:cs="Times New Roman"/>
        </w:rPr>
        <w:t xml:space="preserve">and is the double integral of the normal distribution. </w:t>
      </w:r>
      <w:r w:rsidR="003C3C2D">
        <w:rPr>
          <w:rFonts w:cs="Times New Roman"/>
        </w:rPr>
        <w:t>Here t</w:t>
      </w:r>
      <w:r>
        <w:rPr>
          <w:rFonts w:cs="Times New Roman"/>
        </w:rPr>
        <w:t xml:space="preserve">here are </w:t>
      </w:r>
      <w:r w:rsidR="003C3C2D">
        <w:rPr>
          <w:rFonts w:cs="Times New Roman"/>
        </w:rPr>
        <w:t xml:space="preserve">no </w:t>
      </w:r>
      <w:r>
        <w:rPr>
          <w:rFonts w:cs="Times New Roman"/>
        </w:rPr>
        <w:t>theoretical reason</w:t>
      </w:r>
      <w:r w:rsidR="00986DDF">
        <w:rPr>
          <w:rFonts w:cs="Times New Roman"/>
        </w:rPr>
        <w:t xml:space="preserve"> for the normal </w:t>
      </w:r>
      <w:r w:rsidR="00986DDF">
        <w:rPr>
          <w:rFonts w:cs="Times New Roman"/>
        </w:rPr>
        <w:lastRenderedPageBreak/>
        <w:t>distribution</w:t>
      </w:r>
      <w:r w:rsidR="000F1D16">
        <w:rPr>
          <w:rFonts w:cs="Times New Roman"/>
        </w:rPr>
        <w:t xml:space="preserve">, other than nature favors </w:t>
      </w:r>
      <w:r w:rsidR="00986DDF">
        <w:rPr>
          <w:rFonts w:cs="Times New Roman"/>
        </w:rPr>
        <w:t>it</w:t>
      </w:r>
      <w:r w:rsidR="000F1D16">
        <w:rPr>
          <w:rFonts w:cs="Times New Roman"/>
        </w:rPr>
        <w:t>.  Arriving at t</w:t>
      </w:r>
      <w:r>
        <w:rPr>
          <w:rFonts w:cs="Times New Roman"/>
        </w:rPr>
        <w:t>h</w:t>
      </w:r>
      <w:r w:rsidR="000F1D16">
        <w:rPr>
          <w:rFonts w:cs="Times New Roman"/>
        </w:rPr>
        <w:t xml:space="preserve">e </w:t>
      </w:r>
      <w:r w:rsidR="000F1D16">
        <w:rPr>
          <w:rFonts w:cs="Times New Roman"/>
          <w:b/>
          <w:bCs/>
        </w:rPr>
        <w:t xml:space="preserve">Z </w:t>
      </w:r>
      <w:r w:rsidR="000F1D16">
        <w:rPr>
          <w:rFonts w:cs="Times New Roman"/>
        </w:rPr>
        <w:t>distribution</w:t>
      </w:r>
      <w:r>
        <w:rPr>
          <w:rFonts w:cs="Times New Roman"/>
        </w:rPr>
        <w:t xml:space="preserve"> takes a bit of explaining</w:t>
      </w:r>
      <w:r w:rsidR="000F1D16">
        <w:rPr>
          <w:rFonts w:cs="Times New Roman"/>
        </w:rPr>
        <w:t>, which is provided</w:t>
      </w:r>
      <w:r>
        <w:rPr>
          <w:rFonts w:cs="Times New Roman"/>
        </w:rPr>
        <w:t xml:space="preserve"> in the textbook</w:t>
      </w:r>
      <w:r w:rsidR="00345EE2">
        <w:rPr>
          <w:rFonts w:cs="Times New Roman"/>
        </w:rPr>
        <w:fldChar w:fldCharType="begin"/>
      </w:r>
      <w:r w:rsidR="00345EE2">
        <w:rPr>
          <w:rFonts w:cs="Times New Roman"/>
        </w:rPr>
        <w:instrText xml:space="preserve"> NOTEREF _Ref159694837 \f \h </w:instrText>
      </w:r>
      <w:r w:rsidR="00345EE2">
        <w:rPr>
          <w:rFonts w:cs="Times New Roman"/>
        </w:rPr>
      </w:r>
      <w:r w:rsidR="00345EE2">
        <w:rPr>
          <w:rFonts w:cs="Times New Roman"/>
        </w:rPr>
        <w:fldChar w:fldCharType="separate"/>
      </w:r>
      <w:r w:rsidR="00040CA9" w:rsidRPr="00040CA9">
        <w:rPr>
          <w:rStyle w:val="EndnoteReference"/>
        </w:rPr>
        <w:t>4</w:t>
      </w:r>
      <w:r w:rsidR="00345EE2">
        <w:rPr>
          <w:rFonts w:cs="Times New Roman"/>
        </w:rPr>
        <w:fldChar w:fldCharType="end"/>
      </w:r>
      <w:r>
        <w:rPr>
          <w:rFonts w:cs="Times New Roman"/>
        </w:rPr>
        <w:t>.  Notice at this point the BET equation predicts nearly no adsorption compared to the experimental data.</w:t>
      </w:r>
      <w:r w:rsidR="00D95838">
        <w:rPr>
          <w:rFonts w:cs="Times New Roman"/>
        </w:rPr>
        <w:t xml:space="preserve"> </w:t>
      </w:r>
      <w:r w:rsidR="00CD63CE">
        <w:rPr>
          <w:rFonts w:cs="Times New Roman"/>
        </w:rPr>
        <w:t xml:space="preserve"> This is why the BET transform fit “blows up” at low pressure.</w:t>
      </w:r>
    </w:p>
    <w:p w14:paraId="42F7B7AB" w14:textId="1C62A852" w:rsidR="00C22D84" w:rsidRDefault="00D95838" w:rsidP="00543A53">
      <w:pPr>
        <w:pStyle w:val="NoSpacing"/>
        <w:rPr>
          <w:rFonts w:cs="Times New Roman"/>
        </w:rPr>
      </w:pPr>
      <w:r>
        <w:rPr>
          <w:rFonts w:cs="Times New Roman"/>
        </w:rPr>
        <w:t xml:space="preserve"> </w:t>
      </w:r>
    </w:p>
    <w:p w14:paraId="305BF4C7" w14:textId="77777777" w:rsidR="00CB2EE2" w:rsidRDefault="00CB2EE2" w:rsidP="00543A53">
      <w:pPr>
        <w:pStyle w:val="NoSpacing"/>
        <w:rPr>
          <w:rFonts w:cs="Times New Roman"/>
        </w:rPr>
      </w:pPr>
      <w:r>
        <w:rPr>
          <w:rFonts w:cs="Times New Roman"/>
        </w:rPr>
        <w:br w:type="page"/>
      </w:r>
    </w:p>
    <w:tbl>
      <w:tblPr>
        <w:tblStyle w:val="TableGrid"/>
        <w:tblW w:w="0" w:type="auto"/>
        <w:tblLook w:val="04A0" w:firstRow="1" w:lastRow="0" w:firstColumn="1" w:lastColumn="0" w:noHBand="0" w:noVBand="1"/>
      </w:tblPr>
      <w:tblGrid>
        <w:gridCol w:w="3116"/>
        <w:gridCol w:w="3449"/>
        <w:gridCol w:w="2785"/>
      </w:tblGrid>
      <w:tr w:rsidR="00C22D84" w14:paraId="359683DA" w14:textId="77777777" w:rsidTr="00CB2EE2">
        <w:trPr>
          <w:trHeight w:hRule="exact" w:val="432"/>
        </w:trPr>
        <w:tc>
          <w:tcPr>
            <w:tcW w:w="9350" w:type="dxa"/>
            <w:gridSpan w:val="3"/>
            <w:vAlign w:val="center"/>
          </w:tcPr>
          <w:p w14:paraId="52CA4A70" w14:textId="1C0AB625" w:rsidR="00C22D84" w:rsidRPr="00A51D05" w:rsidRDefault="00C22D84" w:rsidP="00981E49">
            <w:pPr>
              <w:pStyle w:val="NoSpacing"/>
              <w:outlineLvl w:val="2"/>
              <w:rPr>
                <w:rFonts w:cs="Times New Roman"/>
              </w:rPr>
            </w:pPr>
            <w:bookmarkStart w:id="34" w:name="_Toc171582133"/>
            <w:r>
              <w:rPr>
                <w:rFonts w:cs="Times New Roman"/>
                <w:b/>
                <w:bCs/>
              </w:rPr>
              <w:lastRenderedPageBreak/>
              <w:t xml:space="preserve">Table 1 </w:t>
            </w:r>
            <w:r w:rsidR="00981E49">
              <w:rPr>
                <w:rFonts w:cs="Times New Roman"/>
                <w:b/>
                <w:bCs/>
              </w:rPr>
              <w:t>C</w:t>
            </w:r>
            <w:r w:rsidRPr="00981E49">
              <w:rPr>
                <w:rFonts w:cs="Times New Roman"/>
              </w:rPr>
              <w:t xml:space="preserve">omparison of the QM model and the BET </w:t>
            </w:r>
            <w:r w:rsidR="00947B81" w:rsidRPr="00981E49">
              <w:rPr>
                <w:rFonts w:cs="Times New Roman"/>
              </w:rPr>
              <w:t>parameters</w:t>
            </w:r>
            <w:r w:rsidR="00500217" w:rsidRPr="00981E49">
              <w:rPr>
                <w:rFonts w:cs="Times New Roman"/>
              </w:rPr>
              <w:t xml:space="preserve"> for KJO data.</w:t>
            </w:r>
            <w:bookmarkEnd w:id="34"/>
          </w:p>
        </w:tc>
      </w:tr>
      <w:tr w:rsidR="00CB2EE2" w14:paraId="30413F98" w14:textId="77777777" w:rsidTr="00CD4AEB">
        <w:trPr>
          <w:trHeight w:hRule="exact" w:val="432"/>
        </w:trPr>
        <w:tc>
          <w:tcPr>
            <w:tcW w:w="3116" w:type="dxa"/>
            <w:vAlign w:val="center"/>
          </w:tcPr>
          <w:p w14:paraId="6A4D21E0" w14:textId="7EC0229C" w:rsidR="00CB2EE2" w:rsidRDefault="00CB2EE2" w:rsidP="00543A53">
            <w:pPr>
              <w:pStyle w:val="NoSpacing"/>
              <w:rPr>
                <w:rFonts w:cs="Times New Roman"/>
                <w:b/>
                <w:bCs/>
              </w:rPr>
            </w:pPr>
            <w:r>
              <w:rPr>
                <w:rFonts w:cs="Times New Roman"/>
                <w:b/>
                <w:bCs/>
              </w:rPr>
              <w:t>BET with lower limit</w:t>
            </w:r>
            <w:r w:rsidR="00C7222F">
              <w:rPr>
                <w:rFonts w:cs="Times New Roman"/>
                <w:b/>
                <w:bCs/>
              </w:rPr>
              <w:t xml:space="preserve"> (0.01)</w:t>
            </w:r>
            <w:r>
              <w:rPr>
                <w:rFonts w:cs="Times New Roman"/>
                <w:b/>
                <w:bCs/>
              </w:rPr>
              <w:t>:</w:t>
            </w:r>
          </w:p>
        </w:tc>
        <w:tc>
          <w:tcPr>
            <w:tcW w:w="3449" w:type="dxa"/>
            <w:vAlign w:val="center"/>
          </w:tcPr>
          <w:p w14:paraId="2C198CDB" w14:textId="77777777" w:rsidR="00CB2EE2" w:rsidRPr="00455227" w:rsidRDefault="00CB2EE2" w:rsidP="00543A53">
            <w:pPr>
              <w:pStyle w:val="NoSpacing"/>
              <w:rPr>
                <w:rFonts w:cs="Times New Roman"/>
                <w:b/>
                <w:bCs/>
                <w:vertAlign w:val="subscript"/>
              </w:rPr>
            </w:pPr>
            <w:r>
              <w:rPr>
                <w:rFonts w:cs="Times New Roman"/>
                <w:b/>
                <w:bCs/>
                <w:i/>
                <w:iCs/>
              </w:rPr>
              <w:t>n</w:t>
            </w:r>
            <w:r>
              <w:rPr>
                <w:rFonts w:cs="Times New Roman"/>
                <w:b/>
                <w:bCs/>
                <w:vertAlign w:val="subscript"/>
              </w:rPr>
              <w:t>ads</w:t>
            </w:r>
            <w:r>
              <w:rPr>
                <w:rFonts w:cs="Times New Roman"/>
                <w:b/>
                <w:bCs/>
              </w:rPr>
              <w:t xml:space="preserve"> /mmol g</w:t>
            </w:r>
            <w:r>
              <w:rPr>
                <w:rFonts w:cs="Times New Roman"/>
                <w:b/>
                <w:bCs/>
                <w:vertAlign w:val="superscript"/>
              </w:rPr>
              <w:t>-1</w:t>
            </w:r>
            <w:r>
              <w:rPr>
                <w:rFonts w:cs="Times New Roman"/>
                <w:b/>
                <w:bCs/>
                <w:vertAlign w:val="subscript"/>
              </w:rPr>
              <w:t>:</w:t>
            </w:r>
          </w:p>
        </w:tc>
        <w:tc>
          <w:tcPr>
            <w:tcW w:w="2785" w:type="dxa"/>
            <w:vAlign w:val="center"/>
          </w:tcPr>
          <w:p w14:paraId="6B3D7869" w14:textId="77777777" w:rsidR="00CB2EE2" w:rsidRDefault="00CB2EE2" w:rsidP="00543A53">
            <w:pPr>
              <w:pStyle w:val="NoSpacing"/>
              <w:rPr>
                <w:rFonts w:cs="Times New Roman"/>
                <w:b/>
                <w:bCs/>
              </w:rPr>
            </w:pPr>
            <w:r>
              <w:rPr>
                <w:rFonts w:cs="Times New Roman"/>
                <w:b/>
                <w:bCs/>
              </w:rPr>
              <w:t>0.265</w:t>
            </w:r>
          </w:p>
        </w:tc>
      </w:tr>
      <w:tr w:rsidR="00CB2EE2" w14:paraId="38C9918D" w14:textId="77777777" w:rsidTr="00CD4AEB">
        <w:trPr>
          <w:trHeight w:hRule="exact" w:val="432"/>
        </w:trPr>
        <w:tc>
          <w:tcPr>
            <w:tcW w:w="3116" w:type="dxa"/>
            <w:vAlign w:val="center"/>
          </w:tcPr>
          <w:p w14:paraId="52316FFA" w14:textId="77777777" w:rsidR="00CB2EE2" w:rsidRDefault="00CB2EE2" w:rsidP="00543A53">
            <w:pPr>
              <w:pStyle w:val="NoSpacing"/>
              <w:rPr>
                <w:rFonts w:cs="Times New Roman"/>
                <w:b/>
                <w:bCs/>
              </w:rPr>
            </w:pPr>
          </w:p>
        </w:tc>
        <w:tc>
          <w:tcPr>
            <w:tcW w:w="3449" w:type="dxa"/>
            <w:vAlign w:val="center"/>
          </w:tcPr>
          <w:p w14:paraId="4DA1A7C8" w14:textId="77777777" w:rsidR="00CB2EE2" w:rsidRPr="00D4061F" w:rsidRDefault="00CB2EE2" w:rsidP="00543A53">
            <w:pPr>
              <w:pStyle w:val="NoSpacing"/>
              <w:rPr>
                <w:rFonts w:cs="Times New Roman"/>
              </w:rPr>
            </w:pPr>
            <w:r w:rsidRPr="00D4061F">
              <w:rPr>
                <w:rFonts w:cs="Times New Roman"/>
                <w:i/>
                <w:iCs/>
              </w:rPr>
              <w:t xml:space="preserve">A </w:t>
            </w:r>
            <w:r w:rsidRPr="00D4061F">
              <w:rPr>
                <w:rFonts w:cs="Times New Roman"/>
              </w:rPr>
              <w:t>/m</w:t>
            </w:r>
            <w:r w:rsidRPr="00D4061F">
              <w:rPr>
                <w:rFonts w:cs="Times New Roman"/>
                <w:vertAlign w:val="superscript"/>
              </w:rPr>
              <w:t>2</w:t>
            </w:r>
            <w:r w:rsidRPr="00D4061F">
              <w:rPr>
                <w:rFonts w:cs="Times New Roman"/>
              </w:rPr>
              <w:t xml:space="preserve"> g</w:t>
            </w:r>
            <w:r w:rsidRPr="00D4061F">
              <w:rPr>
                <w:rFonts w:cs="Times New Roman"/>
                <w:vertAlign w:val="superscript"/>
              </w:rPr>
              <w:t>-2</w:t>
            </w:r>
            <w:r w:rsidRPr="00D4061F">
              <w:rPr>
                <w:rFonts w:cs="Times New Roman"/>
              </w:rPr>
              <w:t xml:space="preserve"> (IUPAC)</w:t>
            </w:r>
          </w:p>
        </w:tc>
        <w:tc>
          <w:tcPr>
            <w:tcW w:w="2785" w:type="dxa"/>
            <w:vAlign w:val="center"/>
          </w:tcPr>
          <w:p w14:paraId="4DAE74F4" w14:textId="77777777" w:rsidR="00CB2EE2" w:rsidRPr="00D4061F" w:rsidRDefault="00CB2EE2" w:rsidP="00543A53">
            <w:pPr>
              <w:pStyle w:val="NoSpacing"/>
              <w:rPr>
                <w:rFonts w:cs="Times New Roman"/>
              </w:rPr>
            </w:pPr>
            <w:r w:rsidRPr="00D4061F">
              <w:rPr>
                <w:rFonts w:cs="Times New Roman"/>
              </w:rPr>
              <w:t>25.</w:t>
            </w:r>
            <w:r>
              <w:rPr>
                <w:rFonts w:cs="Times New Roman"/>
              </w:rPr>
              <w:t>9</w:t>
            </w:r>
          </w:p>
        </w:tc>
      </w:tr>
      <w:tr w:rsidR="00CB2EE2" w14:paraId="39D79C3F" w14:textId="77777777" w:rsidTr="00CD4AEB">
        <w:trPr>
          <w:trHeight w:hRule="exact" w:val="432"/>
        </w:trPr>
        <w:tc>
          <w:tcPr>
            <w:tcW w:w="3116" w:type="dxa"/>
            <w:vAlign w:val="center"/>
          </w:tcPr>
          <w:p w14:paraId="27E1B10E" w14:textId="77777777" w:rsidR="00CB2EE2" w:rsidRDefault="00CB2EE2" w:rsidP="00543A53">
            <w:pPr>
              <w:pStyle w:val="NoSpacing"/>
              <w:rPr>
                <w:rFonts w:cs="Times New Roman"/>
                <w:b/>
                <w:bCs/>
              </w:rPr>
            </w:pPr>
          </w:p>
        </w:tc>
        <w:tc>
          <w:tcPr>
            <w:tcW w:w="3449" w:type="dxa"/>
            <w:vAlign w:val="center"/>
          </w:tcPr>
          <w:p w14:paraId="18522FF8" w14:textId="77777777" w:rsidR="00CB2EE2" w:rsidRPr="00455227" w:rsidRDefault="00CB2EE2" w:rsidP="00543A53">
            <w:pPr>
              <w:pStyle w:val="NoSpacing"/>
              <w:rPr>
                <w:rFonts w:cs="Times New Roman"/>
                <w:b/>
                <w:bCs/>
              </w:rPr>
            </w:pPr>
            <w:r>
              <w:rPr>
                <w:rFonts w:cs="Times New Roman"/>
                <w:b/>
                <w:bCs/>
              </w:rPr>
              <w:t xml:space="preserve">BET </w:t>
            </w:r>
            <w:r>
              <w:rPr>
                <w:rFonts w:cs="Times New Roman"/>
                <w:b/>
                <w:bCs/>
                <w:i/>
                <w:iCs/>
              </w:rPr>
              <w:t>C</w:t>
            </w:r>
            <w:r>
              <w:rPr>
                <w:rFonts w:cs="Times New Roman"/>
                <w:b/>
                <w:bCs/>
              </w:rPr>
              <w:t xml:space="preserve"> /* unitless</w:t>
            </w:r>
          </w:p>
        </w:tc>
        <w:tc>
          <w:tcPr>
            <w:tcW w:w="2785" w:type="dxa"/>
            <w:vAlign w:val="center"/>
          </w:tcPr>
          <w:p w14:paraId="2406F451" w14:textId="4ABAA662" w:rsidR="00CB2EE2" w:rsidRPr="00AF2DA2" w:rsidRDefault="00CB2EE2" w:rsidP="00543A53">
            <w:pPr>
              <w:pStyle w:val="NoSpacing"/>
              <w:rPr>
                <w:rFonts w:cs="Times New Roman"/>
                <w:vanish/>
              </w:rPr>
            </w:pPr>
            <w:proofErr w:type="gramStart"/>
            <w:r>
              <w:rPr>
                <w:rFonts w:cs="Times New Roman"/>
                <w:b/>
                <w:bCs/>
              </w:rPr>
              <w:t>130.1</w:t>
            </w:r>
            <w:r w:rsidR="00AF2DA2">
              <w:rPr>
                <w:rFonts w:cs="Times New Roman"/>
                <w:b/>
                <w:bCs/>
              </w:rPr>
              <w:t xml:space="preserve">  </w:t>
            </w:r>
            <w:r w:rsidR="00AF2DA2">
              <w:rPr>
                <w:rFonts w:cs="Times New Roman"/>
              </w:rPr>
              <w:t>(</w:t>
            </w:r>
            <w:proofErr w:type="gramEnd"/>
            <w:r w:rsidR="00910215">
              <w:rPr>
                <w:rFonts w:cs="Times New Roman"/>
              </w:rPr>
              <w:t>-</w:t>
            </w:r>
            <w:r w:rsidR="00AF2DA2">
              <w:rPr>
                <w:rFonts w:cs="Times New Roman"/>
              </w:rPr>
              <w:t>3.2 kJ mol</w:t>
            </w:r>
            <w:r w:rsidR="00935D4B">
              <w:rPr>
                <w:rFonts w:cs="Times New Roman"/>
              </w:rPr>
              <w:t>)</w:t>
            </w:r>
            <w:r w:rsidR="00AF2DA2">
              <w:rPr>
                <w:rFonts w:cs="Times New Roman"/>
                <w:vanish/>
                <w:vertAlign w:val="superscript"/>
              </w:rPr>
              <w:t>-1</w:t>
            </w:r>
            <w:r w:rsidR="00AF2DA2">
              <w:rPr>
                <w:rFonts w:cs="Times New Roman"/>
                <w:vanish/>
              </w:rPr>
              <w:t>)</w:t>
            </w:r>
          </w:p>
        </w:tc>
      </w:tr>
      <w:tr w:rsidR="00CB2EE2" w14:paraId="09A8F57F" w14:textId="77777777" w:rsidTr="00CD4AEB">
        <w:trPr>
          <w:trHeight w:hRule="exact" w:val="432"/>
        </w:trPr>
        <w:tc>
          <w:tcPr>
            <w:tcW w:w="3116" w:type="dxa"/>
            <w:vAlign w:val="center"/>
          </w:tcPr>
          <w:p w14:paraId="1F91E80B" w14:textId="77777777" w:rsidR="00CB2EE2" w:rsidRDefault="00CB2EE2" w:rsidP="00543A53">
            <w:pPr>
              <w:pStyle w:val="NoSpacing"/>
              <w:rPr>
                <w:rFonts w:cs="Times New Roman"/>
                <w:b/>
                <w:bCs/>
              </w:rPr>
            </w:pPr>
          </w:p>
        </w:tc>
        <w:tc>
          <w:tcPr>
            <w:tcW w:w="3449" w:type="dxa"/>
            <w:vAlign w:val="center"/>
          </w:tcPr>
          <w:p w14:paraId="3B7FA897" w14:textId="77777777" w:rsidR="00CB2EE2" w:rsidRPr="00D4061F" w:rsidRDefault="00CB2EE2" w:rsidP="00543A53">
            <w:pPr>
              <w:pStyle w:val="NoSpacing"/>
              <w:rPr>
                <w:rFonts w:cs="Times New Roman"/>
                <w:b/>
                <w:bCs/>
              </w:rPr>
            </w:pPr>
            <w:r w:rsidRPr="00D4061F">
              <w:rPr>
                <w:rFonts w:cs="Times New Roman"/>
                <w:b/>
                <w:bCs/>
              </w:rPr>
              <w:t>Standard deviation of fit:</w:t>
            </w:r>
          </w:p>
        </w:tc>
        <w:tc>
          <w:tcPr>
            <w:tcW w:w="2785" w:type="dxa"/>
            <w:vAlign w:val="center"/>
          </w:tcPr>
          <w:p w14:paraId="2B738458" w14:textId="77777777" w:rsidR="00CB2EE2" w:rsidRPr="00D4061F" w:rsidRDefault="00CB2EE2" w:rsidP="00543A53">
            <w:pPr>
              <w:pStyle w:val="NoSpacing"/>
              <w:rPr>
                <w:rFonts w:cs="Times New Roman"/>
                <w:b/>
                <w:bCs/>
              </w:rPr>
            </w:pPr>
            <w:r w:rsidRPr="00D4061F">
              <w:rPr>
                <w:rFonts w:cs="Times New Roman"/>
                <w:b/>
                <w:bCs/>
              </w:rPr>
              <w:t>0.0</w:t>
            </w:r>
            <w:r>
              <w:rPr>
                <w:rFonts w:cs="Times New Roman"/>
                <w:b/>
                <w:bCs/>
              </w:rPr>
              <w:t>604</w:t>
            </w:r>
          </w:p>
        </w:tc>
      </w:tr>
      <w:tr w:rsidR="00CB2EE2" w14:paraId="2B0C6BBD" w14:textId="77777777" w:rsidTr="00CD4AEB">
        <w:trPr>
          <w:trHeight w:hRule="exact" w:val="432"/>
        </w:trPr>
        <w:tc>
          <w:tcPr>
            <w:tcW w:w="3116" w:type="dxa"/>
            <w:vAlign w:val="center"/>
          </w:tcPr>
          <w:p w14:paraId="31DEAE3A" w14:textId="77777777" w:rsidR="00CB2EE2" w:rsidRDefault="00CB2EE2" w:rsidP="00543A53">
            <w:pPr>
              <w:pStyle w:val="NoSpacing"/>
              <w:rPr>
                <w:rFonts w:cs="Times New Roman"/>
                <w:b/>
                <w:bCs/>
              </w:rPr>
            </w:pPr>
          </w:p>
        </w:tc>
        <w:tc>
          <w:tcPr>
            <w:tcW w:w="3449" w:type="dxa"/>
            <w:vAlign w:val="center"/>
          </w:tcPr>
          <w:p w14:paraId="46CEBD8A" w14:textId="57D356F2" w:rsidR="00CB2EE2" w:rsidRPr="00D4061F" w:rsidRDefault="00CB2EE2" w:rsidP="00543A53">
            <w:pPr>
              <w:pStyle w:val="NoSpacing"/>
              <w:rPr>
                <w:rFonts w:cs="Times New Roman"/>
              </w:rPr>
            </w:pPr>
            <w:r w:rsidRPr="00D4061F">
              <w:rPr>
                <w:rFonts w:cs="Times New Roman"/>
              </w:rPr>
              <w:t xml:space="preserve">Deviation/full </w:t>
            </w:r>
            <w:r w:rsidR="000F1D16">
              <w:rPr>
                <w:rFonts w:cs="Times New Roman"/>
              </w:rPr>
              <w:t>data range</w:t>
            </w:r>
            <w:r w:rsidRPr="00D4061F">
              <w:rPr>
                <w:rFonts w:cs="Times New Roman"/>
              </w:rPr>
              <w:t xml:space="preserve"> </w:t>
            </w:r>
          </w:p>
        </w:tc>
        <w:tc>
          <w:tcPr>
            <w:tcW w:w="2785" w:type="dxa"/>
            <w:vAlign w:val="center"/>
          </w:tcPr>
          <w:p w14:paraId="044A2224" w14:textId="77777777" w:rsidR="00CB2EE2" w:rsidRPr="00D4061F" w:rsidRDefault="00CB2EE2" w:rsidP="00543A53">
            <w:pPr>
              <w:pStyle w:val="NoSpacing"/>
              <w:rPr>
                <w:rFonts w:cs="Times New Roman"/>
              </w:rPr>
            </w:pPr>
            <w:r>
              <w:rPr>
                <w:rFonts w:cs="Times New Roman"/>
              </w:rPr>
              <w:t>4</w:t>
            </w:r>
            <w:r w:rsidRPr="00D4061F">
              <w:rPr>
                <w:rFonts w:cs="Times New Roman"/>
              </w:rPr>
              <w:t>.</w:t>
            </w:r>
            <w:r>
              <w:rPr>
                <w:rFonts w:cs="Times New Roman"/>
              </w:rPr>
              <w:t>7</w:t>
            </w:r>
            <w:r w:rsidRPr="00D4061F">
              <w:rPr>
                <w:rFonts w:cs="Times New Roman"/>
              </w:rPr>
              <w:t xml:space="preserve"> %</w:t>
            </w:r>
          </w:p>
        </w:tc>
      </w:tr>
      <w:tr w:rsidR="00CB2EE2" w14:paraId="5528680C" w14:textId="77777777" w:rsidTr="00CD4AEB">
        <w:trPr>
          <w:trHeight w:hRule="exact" w:val="432"/>
        </w:trPr>
        <w:tc>
          <w:tcPr>
            <w:tcW w:w="3116" w:type="dxa"/>
            <w:vAlign w:val="center"/>
          </w:tcPr>
          <w:p w14:paraId="168DEF07" w14:textId="77777777" w:rsidR="00CB2EE2" w:rsidRDefault="00CB2EE2" w:rsidP="00543A53">
            <w:pPr>
              <w:pStyle w:val="NoSpacing"/>
              <w:rPr>
                <w:rFonts w:cs="Times New Roman"/>
                <w:b/>
                <w:bCs/>
              </w:rPr>
            </w:pPr>
            <w:r>
              <w:rPr>
                <w:rFonts w:cs="Times New Roman"/>
                <w:b/>
                <w:bCs/>
              </w:rPr>
              <w:t>BET with no lower limit:</w:t>
            </w:r>
          </w:p>
        </w:tc>
        <w:tc>
          <w:tcPr>
            <w:tcW w:w="3449" w:type="dxa"/>
            <w:vAlign w:val="center"/>
          </w:tcPr>
          <w:p w14:paraId="5E17B050" w14:textId="77777777" w:rsidR="00CB2EE2" w:rsidRPr="00455227" w:rsidRDefault="00CB2EE2" w:rsidP="00543A53">
            <w:pPr>
              <w:pStyle w:val="NoSpacing"/>
              <w:rPr>
                <w:rFonts w:cs="Times New Roman"/>
                <w:b/>
                <w:bCs/>
                <w:vertAlign w:val="subscript"/>
              </w:rPr>
            </w:pPr>
            <w:r>
              <w:rPr>
                <w:rFonts w:cs="Times New Roman"/>
                <w:b/>
                <w:bCs/>
                <w:i/>
                <w:iCs/>
              </w:rPr>
              <w:t>n</w:t>
            </w:r>
            <w:r>
              <w:rPr>
                <w:rFonts w:cs="Times New Roman"/>
                <w:b/>
                <w:bCs/>
                <w:vertAlign w:val="subscript"/>
              </w:rPr>
              <w:t>ads</w:t>
            </w:r>
            <w:r>
              <w:rPr>
                <w:rFonts w:cs="Times New Roman"/>
                <w:b/>
                <w:bCs/>
              </w:rPr>
              <w:t xml:space="preserve"> /mmol g</w:t>
            </w:r>
            <w:r>
              <w:rPr>
                <w:rFonts w:cs="Times New Roman"/>
                <w:b/>
                <w:bCs/>
                <w:vertAlign w:val="superscript"/>
              </w:rPr>
              <w:t>-1</w:t>
            </w:r>
            <w:r>
              <w:rPr>
                <w:rFonts w:cs="Times New Roman"/>
                <w:b/>
                <w:bCs/>
                <w:vertAlign w:val="subscript"/>
              </w:rPr>
              <w:t>:</w:t>
            </w:r>
          </w:p>
        </w:tc>
        <w:tc>
          <w:tcPr>
            <w:tcW w:w="2785" w:type="dxa"/>
            <w:vAlign w:val="center"/>
          </w:tcPr>
          <w:p w14:paraId="4DD3E5EC" w14:textId="77777777" w:rsidR="00CB2EE2" w:rsidRDefault="00CB2EE2" w:rsidP="00543A53">
            <w:pPr>
              <w:pStyle w:val="NoSpacing"/>
              <w:rPr>
                <w:rFonts w:cs="Times New Roman"/>
                <w:b/>
                <w:bCs/>
              </w:rPr>
            </w:pPr>
            <w:r>
              <w:rPr>
                <w:rFonts w:cs="Times New Roman"/>
                <w:b/>
                <w:bCs/>
              </w:rPr>
              <w:t>2.56</w:t>
            </w:r>
          </w:p>
        </w:tc>
      </w:tr>
      <w:tr w:rsidR="00CB2EE2" w14:paraId="5DDEF020" w14:textId="77777777" w:rsidTr="00CD4AEB">
        <w:trPr>
          <w:trHeight w:hRule="exact" w:val="432"/>
        </w:trPr>
        <w:tc>
          <w:tcPr>
            <w:tcW w:w="3116" w:type="dxa"/>
            <w:vAlign w:val="center"/>
          </w:tcPr>
          <w:p w14:paraId="0A2C81FC" w14:textId="77777777" w:rsidR="00CB2EE2" w:rsidRDefault="00CB2EE2" w:rsidP="00543A53">
            <w:pPr>
              <w:pStyle w:val="NoSpacing"/>
              <w:rPr>
                <w:rFonts w:cs="Times New Roman"/>
                <w:b/>
                <w:bCs/>
              </w:rPr>
            </w:pPr>
          </w:p>
        </w:tc>
        <w:tc>
          <w:tcPr>
            <w:tcW w:w="3449" w:type="dxa"/>
            <w:vAlign w:val="center"/>
          </w:tcPr>
          <w:p w14:paraId="68834A0E" w14:textId="77777777" w:rsidR="00CB2EE2" w:rsidRPr="00D4061F" w:rsidRDefault="00CB2EE2" w:rsidP="00543A53">
            <w:pPr>
              <w:pStyle w:val="NoSpacing"/>
              <w:rPr>
                <w:rFonts w:cs="Times New Roman"/>
              </w:rPr>
            </w:pPr>
            <w:r w:rsidRPr="00D4061F">
              <w:rPr>
                <w:rFonts w:cs="Times New Roman"/>
                <w:i/>
                <w:iCs/>
              </w:rPr>
              <w:t xml:space="preserve">A </w:t>
            </w:r>
            <w:r w:rsidRPr="00D4061F">
              <w:rPr>
                <w:rFonts w:cs="Times New Roman"/>
              </w:rPr>
              <w:t>/m</w:t>
            </w:r>
            <w:r w:rsidRPr="00D4061F">
              <w:rPr>
                <w:rFonts w:cs="Times New Roman"/>
                <w:vertAlign w:val="superscript"/>
              </w:rPr>
              <w:t>2</w:t>
            </w:r>
            <w:r w:rsidRPr="00D4061F">
              <w:rPr>
                <w:rFonts w:cs="Times New Roman"/>
              </w:rPr>
              <w:t xml:space="preserve"> g</w:t>
            </w:r>
            <w:r w:rsidRPr="00D4061F">
              <w:rPr>
                <w:rFonts w:cs="Times New Roman"/>
                <w:vertAlign w:val="superscript"/>
              </w:rPr>
              <w:t>-2</w:t>
            </w:r>
            <w:r w:rsidRPr="00D4061F">
              <w:rPr>
                <w:rFonts w:cs="Times New Roman"/>
              </w:rPr>
              <w:t xml:space="preserve"> (IUPAC)</w:t>
            </w:r>
          </w:p>
        </w:tc>
        <w:tc>
          <w:tcPr>
            <w:tcW w:w="2785" w:type="dxa"/>
            <w:vAlign w:val="center"/>
          </w:tcPr>
          <w:p w14:paraId="0FBCED0E" w14:textId="2CD3AFA8" w:rsidR="00CB2EE2" w:rsidRPr="00D4061F" w:rsidRDefault="00CB2EE2" w:rsidP="00543A53">
            <w:pPr>
              <w:pStyle w:val="NoSpacing"/>
              <w:rPr>
                <w:rFonts w:cs="Times New Roman"/>
              </w:rPr>
            </w:pPr>
            <w:r w:rsidRPr="00D4061F">
              <w:rPr>
                <w:rFonts w:cs="Times New Roman"/>
              </w:rPr>
              <w:t>25</w:t>
            </w:r>
            <w:r w:rsidR="00ED7270">
              <w:rPr>
                <w:rFonts w:cs="Times New Roman"/>
              </w:rPr>
              <w:t>.</w:t>
            </w:r>
            <w:r>
              <w:rPr>
                <w:rFonts w:cs="Times New Roman"/>
              </w:rPr>
              <w:t>1</w:t>
            </w:r>
          </w:p>
        </w:tc>
      </w:tr>
      <w:tr w:rsidR="00CB2EE2" w14:paraId="1241485E" w14:textId="77777777" w:rsidTr="00CD4AEB">
        <w:trPr>
          <w:trHeight w:hRule="exact" w:val="432"/>
        </w:trPr>
        <w:tc>
          <w:tcPr>
            <w:tcW w:w="3116" w:type="dxa"/>
            <w:vAlign w:val="center"/>
          </w:tcPr>
          <w:p w14:paraId="4CAEE4C0" w14:textId="77777777" w:rsidR="00CB2EE2" w:rsidRDefault="00CB2EE2" w:rsidP="00543A53">
            <w:pPr>
              <w:pStyle w:val="NoSpacing"/>
              <w:rPr>
                <w:rFonts w:cs="Times New Roman"/>
                <w:b/>
                <w:bCs/>
              </w:rPr>
            </w:pPr>
          </w:p>
        </w:tc>
        <w:tc>
          <w:tcPr>
            <w:tcW w:w="3449" w:type="dxa"/>
            <w:vAlign w:val="center"/>
          </w:tcPr>
          <w:p w14:paraId="6C8A6D84" w14:textId="77777777" w:rsidR="00CB2EE2" w:rsidRPr="00455227" w:rsidRDefault="00CB2EE2" w:rsidP="00543A53">
            <w:pPr>
              <w:pStyle w:val="NoSpacing"/>
              <w:rPr>
                <w:rFonts w:cs="Times New Roman"/>
                <w:b/>
                <w:bCs/>
              </w:rPr>
            </w:pPr>
            <w:r>
              <w:rPr>
                <w:rFonts w:cs="Times New Roman"/>
                <w:b/>
                <w:bCs/>
              </w:rPr>
              <w:t xml:space="preserve">BET </w:t>
            </w:r>
            <w:r>
              <w:rPr>
                <w:rFonts w:cs="Times New Roman"/>
                <w:b/>
                <w:bCs/>
                <w:i/>
                <w:iCs/>
              </w:rPr>
              <w:t>C</w:t>
            </w:r>
            <w:r>
              <w:rPr>
                <w:rFonts w:cs="Times New Roman"/>
                <w:b/>
                <w:bCs/>
              </w:rPr>
              <w:t xml:space="preserve"> /*unitless </w:t>
            </w:r>
          </w:p>
        </w:tc>
        <w:tc>
          <w:tcPr>
            <w:tcW w:w="2785" w:type="dxa"/>
            <w:vAlign w:val="center"/>
          </w:tcPr>
          <w:p w14:paraId="15986401" w14:textId="1FB87305" w:rsidR="00CB2EE2" w:rsidRPr="00910215" w:rsidRDefault="00CB2EE2" w:rsidP="00543A53">
            <w:pPr>
              <w:pStyle w:val="NoSpacing"/>
              <w:rPr>
                <w:rFonts w:cs="Times New Roman"/>
              </w:rPr>
            </w:pPr>
            <w:proofErr w:type="gramStart"/>
            <w:r>
              <w:rPr>
                <w:rFonts w:cs="Times New Roman"/>
                <w:b/>
                <w:bCs/>
              </w:rPr>
              <w:t>393</w:t>
            </w:r>
            <w:r w:rsidR="00AF2DA2">
              <w:rPr>
                <w:rFonts w:cs="Times New Roman"/>
                <w:b/>
                <w:bCs/>
              </w:rPr>
              <w:t xml:space="preserve">  </w:t>
            </w:r>
            <w:r w:rsidR="00AF2DA2">
              <w:rPr>
                <w:rFonts w:cs="Times New Roman"/>
              </w:rPr>
              <w:t>(</w:t>
            </w:r>
            <w:proofErr w:type="gramEnd"/>
            <w:r w:rsidR="00910215">
              <w:rPr>
                <w:rFonts w:cs="Times New Roman"/>
              </w:rPr>
              <w:t>3-9 kJ mol</w:t>
            </w:r>
            <w:r w:rsidR="00910215">
              <w:rPr>
                <w:rFonts w:cs="Times New Roman"/>
                <w:vertAlign w:val="superscript"/>
              </w:rPr>
              <w:t>-1</w:t>
            </w:r>
            <w:r w:rsidR="00910215">
              <w:rPr>
                <w:rFonts w:cs="Times New Roman"/>
              </w:rPr>
              <w:t>)</w:t>
            </w:r>
          </w:p>
        </w:tc>
      </w:tr>
      <w:tr w:rsidR="00CB2EE2" w14:paraId="39C8ECB9" w14:textId="77777777" w:rsidTr="00CD4AEB">
        <w:trPr>
          <w:trHeight w:hRule="exact" w:val="432"/>
        </w:trPr>
        <w:tc>
          <w:tcPr>
            <w:tcW w:w="3116" w:type="dxa"/>
            <w:vAlign w:val="center"/>
          </w:tcPr>
          <w:p w14:paraId="6D81F4FE" w14:textId="77777777" w:rsidR="00CB2EE2" w:rsidRDefault="00CB2EE2" w:rsidP="00543A53">
            <w:pPr>
              <w:pStyle w:val="NoSpacing"/>
              <w:rPr>
                <w:rFonts w:cs="Times New Roman"/>
                <w:b/>
                <w:bCs/>
              </w:rPr>
            </w:pPr>
          </w:p>
        </w:tc>
        <w:tc>
          <w:tcPr>
            <w:tcW w:w="3449" w:type="dxa"/>
            <w:vAlign w:val="center"/>
          </w:tcPr>
          <w:p w14:paraId="2DA0B2FB" w14:textId="77777777" w:rsidR="00CB2EE2" w:rsidRDefault="00CB2EE2" w:rsidP="00543A53">
            <w:pPr>
              <w:pStyle w:val="NoSpacing"/>
              <w:rPr>
                <w:rFonts w:cs="Times New Roman"/>
                <w:b/>
                <w:bCs/>
              </w:rPr>
            </w:pPr>
            <w:r>
              <w:rPr>
                <w:rFonts w:cs="Times New Roman"/>
                <w:b/>
                <w:bCs/>
              </w:rPr>
              <w:t>Standard deviation of fit:</w:t>
            </w:r>
          </w:p>
        </w:tc>
        <w:tc>
          <w:tcPr>
            <w:tcW w:w="2785" w:type="dxa"/>
            <w:vAlign w:val="center"/>
          </w:tcPr>
          <w:p w14:paraId="08FF00A8" w14:textId="77777777" w:rsidR="00CB2EE2" w:rsidRDefault="00CB2EE2" w:rsidP="00543A53">
            <w:pPr>
              <w:pStyle w:val="NoSpacing"/>
              <w:rPr>
                <w:rFonts w:cs="Times New Roman"/>
                <w:b/>
                <w:bCs/>
              </w:rPr>
            </w:pPr>
            <w:r>
              <w:rPr>
                <w:rFonts w:cs="Times New Roman"/>
                <w:b/>
                <w:bCs/>
              </w:rPr>
              <w:t>1.05</w:t>
            </w:r>
          </w:p>
        </w:tc>
      </w:tr>
      <w:tr w:rsidR="00CB2EE2" w14:paraId="595107FA" w14:textId="77777777" w:rsidTr="00CD4AEB">
        <w:trPr>
          <w:trHeight w:hRule="exact" w:val="432"/>
        </w:trPr>
        <w:tc>
          <w:tcPr>
            <w:tcW w:w="3116" w:type="dxa"/>
            <w:vAlign w:val="center"/>
          </w:tcPr>
          <w:p w14:paraId="6C2E37D1" w14:textId="77777777" w:rsidR="00CB2EE2" w:rsidRDefault="00CB2EE2" w:rsidP="00543A53">
            <w:pPr>
              <w:pStyle w:val="NoSpacing"/>
              <w:rPr>
                <w:rFonts w:cs="Times New Roman"/>
                <w:b/>
                <w:bCs/>
              </w:rPr>
            </w:pPr>
          </w:p>
        </w:tc>
        <w:tc>
          <w:tcPr>
            <w:tcW w:w="3449" w:type="dxa"/>
            <w:vAlign w:val="center"/>
          </w:tcPr>
          <w:p w14:paraId="4420391F" w14:textId="7D86DF7C" w:rsidR="00CB2EE2" w:rsidRPr="00D4061F" w:rsidRDefault="00CB2EE2" w:rsidP="00543A53">
            <w:pPr>
              <w:pStyle w:val="NoSpacing"/>
              <w:rPr>
                <w:rFonts w:cs="Times New Roman"/>
              </w:rPr>
            </w:pPr>
            <w:r w:rsidRPr="00D4061F">
              <w:rPr>
                <w:rFonts w:cs="Times New Roman"/>
              </w:rPr>
              <w:t xml:space="preserve">Deviation/full </w:t>
            </w:r>
            <w:r w:rsidR="000F1D16">
              <w:rPr>
                <w:rFonts w:cs="Times New Roman"/>
              </w:rPr>
              <w:t xml:space="preserve">data </w:t>
            </w:r>
            <w:r w:rsidR="00CD4AEB">
              <w:rPr>
                <w:rFonts w:cs="Times New Roman"/>
              </w:rPr>
              <w:t xml:space="preserve">BET </w:t>
            </w:r>
            <w:r w:rsidR="000F1D16">
              <w:rPr>
                <w:rFonts w:cs="Times New Roman"/>
              </w:rPr>
              <w:t>range</w:t>
            </w:r>
            <w:r w:rsidR="000F1D16" w:rsidRPr="00D4061F">
              <w:rPr>
                <w:rFonts w:cs="Times New Roman"/>
              </w:rPr>
              <w:t xml:space="preserve"> </w:t>
            </w:r>
            <w:r w:rsidRPr="00D4061F">
              <w:rPr>
                <w:rFonts w:cs="Times New Roman"/>
              </w:rPr>
              <w:t xml:space="preserve"> </w:t>
            </w:r>
          </w:p>
        </w:tc>
        <w:tc>
          <w:tcPr>
            <w:tcW w:w="2785" w:type="dxa"/>
            <w:vAlign w:val="center"/>
          </w:tcPr>
          <w:p w14:paraId="233C3F31" w14:textId="77777777" w:rsidR="00CB2EE2" w:rsidRPr="00D4061F" w:rsidRDefault="00CB2EE2" w:rsidP="00543A53">
            <w:pPr>
              <w:pStyle w:val="NoSpacing"/>
              <w:rPr>
                <w:rFonts w:cs="Times New Roman"/>
              </w:rPr>
            </w:pPr>
            <w:r w:rsidRPr="00D4061F">
              <w:rPr>
                <w:rFonts w:cs="Times New Roman"/>
              </w:rPr>
              <w:t>15.5</w:t>
            </w:r>
            <w:r>
              <w:rPr>
                <w:rFonts w:cs="Times New Roman"/>
              </w:rPr>
              <w:t xml:space="preserve"> %</w:t>
            </w:r>
          </w:p>
        </w:tc>
      </w:tr>
      <w:tr w:rsidR="00CB2EE2" w14:paraId="1125F73B" w14:textId="77777777" w:rsidTr="00CD4AEB">
        <w:trPr>
          <w:trHeight w:hRule="exact" w:val="432"/>
        </w:trPr>
        <w:tc>
          <w:tcPr>
            <w:tcW w:w="3116" w:type="dxa"/>
            <w:vAlign w:val="center"/>
          </w:tcPr>
          <w:p w14:paraId="14ABDF1C" w14:textId="5BD85507" w:rsidR="00CB2EE2" w:rsidRPr="00750202" w:rsidRDefault="00CB2EE2" w:rsidP="00543A53">
            <w:pPr>
              <w:pStyle w:val="NoSpacing"/>
              <w:rPr>
                <w:rFonts w:cs="Times New Roman"/>
                <w:b/>
                <w:bCs/>
              </w:rPr>
            </w:pPr>
            <w:r>
              <w:rPr>
                <w:rFonts w:cs="Times New Roman"/>
                <w:b/>
                <w:bCs/>
              </w:rPr>
              <w:t>QM output parameters</w:t>
            </w:r>
          </w:p>
        </w:tc>
        <w:tc>
          <w:tcPr>
            <w:tcW w:w="3449" w:type="dxa"/>
            <w:vAlign w:val="center"/>
          </w:tcPr>
          <w:p w14:paraId="209AEE1F" w14:textId="77777777" w:rsidR="00CB2EE2" w:rsidRDefault="00CB2EE2" w:rsidP="00543A53">
            <w:pPr>
              <w:pStyle w:val="NoSpacing"/>
              <w:rPr>
                <w:rFonts w:cs="Times New Roman"/>
                <w:b/>
                <w:bCs/>
              </w:rPr>
            </w:pPr>
            <w:r>
              <w:rPr>
                <w:rFonts w:cs="Times New Roman"/>
                <w:b/>
                <w:bCs/>
                <w:i/>
                <w:iCs/>
              </w:rPr>
              <w:t>n</w:t>
            </w:r>
            <w:r>
              <w:rPr>
                <w:rFonts w:cs="Times New Roman"/>
                <w:b/>
                <w:bCs/>
                <w:vertAlign w:val="subscript"/>
              </w:rPr>
              <w:t>ads</w:t>
            </w:r>
            <w:r>
              <w:rPr>
                <w:rFonts w:cs="Times New Roman"/>
                <w:b/>
                <w:bCs/>
              </w:rPr>
              <w:t xml:space="preserve"> /mmol g</w:t>
            </w:r>
            <w:r>
              <w:rPr>
                <w:rFonts w:cs="Times New Roman"/>
                <w:b/>
                <w:bCs/>
                <w:vertAlign w:val="superscript"/>
              </w:rPr>
              <w:t>-1</w:t>
            </w:r>
            <w:r>
              <w:rPr>
                <w:rFonts w:cs="Times New Roman"/>
                <w:b/>
                <w:bCs/>
                <w:vertAlign w:val="subscript"/>
              </w:rPr>
              <w:t>:</w:t>
            </w:r>
          </w:p>
        </w:tc>
        <w:tc>
          <w:tcPr>
            <w:tcW w:w="2785" w:type="dxa"/>
            <w:vAlign w:val="center"/>
          </w:tcPr>
          <w:p w14:paraId="72ADD088" w14:textId="77777777" w:rsidR="00CB2EE2" w:rsidRDefault="00CB2EE2" w:rsidP="00543A53">
            <w:pPr>
              <w:pStyle w:val="NoSpacing"/>
              <w:rPr>
                <w:rFonts w:cs="Times New Roman"/>
                <w:b/>
                <w:bCs/>
              </w:rPr>
            </w:pPr>
            <w:r>
              <w:rPr>
                <w:rFonts w:cs="Times New Roman"/>
                <w:b/>
                <w:bCs/>
              </w:rPr>
              <w:t>0.157</w:t>
            </w:r>
          </w:p>
        </w:tc>
      </w:tr>
      <w:tr w:rsidR="00CB2EE2" w14:paraId="7DC1CBF3" w14:textId="77777777" w:rsidTr="00CD4AEB">
        <w:trPr>
          <w:trHeight w:hRule="exact" w:val="432"/>
        </w:trPr>
        <w:tc>
          <w:tcPr>
            <w:tcW w:w="3116" w:type="dxa"/>
            <w:vAlign w:val="center"/>
          </w:tcPr>
          <w:p w14:paraId="788A55CA" w14:textId="2131D295" w:rsidR="00CB2EE2" w:rsidRDefault="00EA103A" w:rsidP="00543A53">
            <w:pPr>
              <w:pStyle w:val="NoSpacing"/>
              <w:rPr>
                <w:rFonts w:cs="Times New Roman"/>
                <w:b/>
                <w:bCs/>
              </w:rPr>
            </w:pPr>
            <w:r>
              <w:rPr>
                <w:rFonts w:cs="Times New Roman"/>
                <w:b/>
                <w:bCs/>
              </w:rPr>
              <w:t>w</w:t>
            </w:r>
            <w:r w:rsidRPr="00EA103A">
              <w:rPr>
                <w:rFonts w:cs="Times New Roman"/>
                <w:b/>
                <w:bCs/>
              </w:rPr>
              <w:t xml:space="preserve">ith </w:t>
            </w:r>
            <w:r>
              <w:rPr>
                <w:rFonts w:cs="Times New Roman"/>
                <w:b/>
                <w:bCs/>
                <w:i/>
                <w:iCs/>
              </w:rPr>
              <w:t xml:space="preserve">T </w:t>
            </w:r>
            <w:r>
              <w:rPr>
                <w:rFonts w:cs="Times New Roman"/>
                <w:b/>
                <w:bCs/>
              </w:rPr>
              <w:t>correction</w:t>
            </w:r>
            <w:r w:rsidR="00CD4AEB">
              <w:rPr>
                <w:rFonts w:cs="Times New Roman"/>
                <w:b/>
                <w:bCs/>
              </w:rPr>
              <w:t xml:space="preserve"> - no limits</w:t>
            </w:r>
          </w:p>
        </w:tc>
        <w:tc>
          <w:tcPr>
            <w:tcW w:w="3449" w:type="dxa"/>
            <w:vAlign w:val="center"/>
          </w:tcPr>
          <w:p w14:paraId="6E0A31E6" w14:textId="77777777" w:rsidR="00CB2EE2" w:rsidRPr="00D4061F" w:rsidRDefault="00CB2EE2" w:rsidP="00543A53">
            <w:pPr>
              <w:pStyle w:val="NoSpacing"/>
              <w:rPr>
                <w:rFonts w:cs="Times New Roman"/>
              </w:rPr>
            </w:pPr>
            <w:r w:rsidRPr="00D4061F">
              <w:rPr>
                <w:rFonts w:cs="Times New Roman"/>
                <w:i/>
                <w:iCs/>
              </w:rPr>
              <w:t xml:space="preserve">A </w:t>
            </w:r>
            <w:r w:rsidRPr="00D4061F">
              <w:rPr>
                <w:rFonts w:cs="Times New Roman"/>
              </w:rPr>
              <w:t>/m</w:t>
            </w:r>
            <w:r w:rsidRPr="00D4061F">
              <w:rPr>
                <w:rFonts w:cs="Times New Roman"/>
                <w:vertAlign w:val="superscript"/>
              </w:rPr>
              <w:t>2</w:t>
            </w:r>
            <w:r w:rsidRPr="00D4061F">
              <w:rPr>
                <w:rFonts w:cs="Times New Roman"/>
              </w:rPr>
              <w:t xml:space="preserve"> g</w:t>
            </w:r>
            <w:r w:rsidRPr="00D4061F">
              <w:rPr>
                <w:rFonts w:cs="Times New Roman"/>
                <w:vertAlign w:val="superscript"/>
              </w:rPr>
              <w:t>-2</w:t>
            </w:r>
            <w:r w:rsidRPr="00D4061F">
              <w:rPr>
                <w:rFonts w:cs="Times New Roman"/>
              </w:rPr>
              <w:t xml:space="preserve"> (IUPAC)</w:t>
            </w:r>
          </w:p>
        </w:tc>
        <w:tc>
          <w:tcPr>
            <w:tcW w:w="2785" w:type="dxa"/>
            <w:vAlign w:val="center"/>
          </w:tcPr>
          <w:p w14:paraId="182926CA" w14:textId="77777777" w:rsidR="00CB2EE2" w:rsidRPr="00D4061F" w:rsidRDefault="00CB2EE2" w:rsidP="00543A53">
            <w:pPr>
              <w:pStyle w:val="NoSpacing"/>
              <w:rPr>
                <w:rFonts w:cs="Times New Roman"/>
              </w:rPr>
            </w:pPr>
            <w:r w:rsidRPr="00D4061F">
              <w:rPr>
                <w:rFonts w:cs="Times New Roman"/>
              </w:rPr>
              <w:t>15.3</w:t>
            </w:r>
          </w:p>
        </w:tc>
      </w:tr>
      <w:tr w:rsidR="00CB2EE2" w14:paraId="4B50352E" w14:textId="77777777" w:rsidTr="00CD4AEB">
        <w:trPr>
          <w:trHeight w:hRule="exact" w:val="432"/>
        </w:trPr>
        <w:tc>
          <w:tcPr>
            <w:tcW w:w="3116" w:type="dxa"/>
            <w:vAlign w:val="center"/>
          </w:tcPr>
          <w:p w14:paraId="0EBA2ECE" w14:textId="6CB018C1" w:rsidR="00CB2EE2" w:rsidRDefault="00CD4AEB" w:rsidP="00543A53">
            <w:pPr>
              <w:pStyle w:val="NoSpacing"/>
              <w:rPr>
                <w:rFonts w:cs="Times New Roman"/>
                <w:b/>
                <w:bCs/>
              </w:rPr>
            </w:pPr>
            <w:r>
              <w:rPr>
                <w:rFonts w:cs="Times New Roman"/>
                <w:b/>
                <w:bCs/>
              </w:rPr>
              <w:t>4 parameters</w:t>
            </w:r>
          </w:p>
        </w:tc>
        <w:tc>
          <w:tcPr>
            <w:tcW w:w="3449" w:type="dxa"/>
            <w:vAlign w:val="center"/>
          </w:tcPr>
          <w:p w14:paraId="17A23C53" w14:textId="77777777" w:rsidR="00CB2EE2" w:rsidRDefault="00CB2EE2" w:rsidP="00543A53">
            <w:pPr>
              <w:pStyle w:val="NoSpacing"/>
              <w:rPr>
                <w:rFonts w:cs="Times New Roman"/>
                <w:b/>
                <w:bCs/>
              </w:rPr>
            </w:pPr>
            <w:r>
              <w:rPr>
                <w:rFonts w:cs="Times New Roman"/>
                <w:b/>
                <w:bCs/>
              </w:rPr>
              <w:t>&lt;μ</w:t>
            </w:r>
            <w:r w:rsidRPr="00D4061F">
              <w:rPr>
                <w:rFonts w:cs="Times New Roman"/>
                <w:b/>
                <w:bCs/>
                <w:vertAlign w:val="subscript"/>
              </w:rPr>
              <w:t>ς</w:t>
            </w:r>
            <w:r>
              <w:rPr>
                <w:rFonts w:cs="Times New Roman"/>
                <w:b/>
                <w:bCs/>
              </w:rPr>
              <w:t xml:space="preserve">&gt; (heterogeneity) </w:t>
            </w:r>
          </w:p>
        </w:tc>
        <w:tc>
          <w:tcPr>
            <w:tcW w:w="2785" w:type="dxa"/>
            <w:vAlign w:val="center"/>
          </w:tcPr>
          <w:p w14:paraId="45F10B6D" w14:textId="77777777" w:rsidR="00CB2EE2" w:rsidRDefault="00CB2EE2" w:rsidP="00543A53">
            <w:pPr>
              <w:pStyle w:val="NoSpacing"/>
              <w:rPr>
                <w:rFonts w:cs="Times New Roman"/>
                <w:b/>
                <w:bCs/>
              </w:rPr>
            </w:pPr>
            <w:r>
              <w:rPr>
                <w:rFonts w:cs="Times New Roman"/>
                <w:b/>
                <w:bCs/>
              </w:rPr>
              <w:t>-2.6123</w:t>
            </w:r>
          </w:p>
        </w:tc>
      </w:tr>
      <w:tr w:rsidR="00CB2EE2" w14:paraId="3A04FF58" w14:textId="77777777" w:rsidTr="00CD4AEB">
        <w:trPr>
          <w:trHeight w:hRule="exact" w:val="432"/>
        </w:trPr>
        <w:tc>
          <w:tcPr>
            <w:tcW w:w="3116" w:type="dxa"/>
            <w:vAlign w:val="center"/>
          </w:tcPr>
          <w:p w14:paraId="5F1504B8" w14:textId="77777777" w:rsidR="00CB2EE2" w:rsidRDefault="00CB2EE2" w:rsidP="00543A53">
            <w:pPr>
              <w:pStyle w:val="NoSpacing"/>
              <w:rPr>
                <w:rFonts w:cs="Times New Roman"/>
                <w:b/>
                <w:bCs/>
              </w:rPr>
            </w:pPr>
          </w:p>
        </w:tc>
        <w:tc>
          <w:tcPr>
            <w:tcW w:w="3449" w:type="dxa"/>
            <w:vAlign w:val="center"/>
          </w:tcPr>
          <w:p w14:paraId="4462ECF9" w14:textId="77777777" w:rsidR="00CB2EE2" w:rsidRPr="00D4061F" w:rsidRDefault="00CB2EE2" w:rsidP="00543A53">
            <w:pPr>
              <w:pStyle w:val="NoSpacing"/>
              <w:rPr>
                <w:rFonts w:cs="Times New Roman"/>
                <w:i/>
                <w:iCs/>
              </w:rPr>
            </w:pPr>
            <w:r w:rsidRPr="00D4061F">
              <w:rPr>
                <w:rFonts w:cs="Times New Roman"/>
                <w:i/>
                <w:iCs/>
              </w:rPr>
              <w:t>E</w:t>
            </w:r>
            <w:r w:rsidRPr="00D4061F">
              <w:rPr>
                <w:rFonts w:cs="Times New Roman"/>
              </w:rPr>
              <w:t>a /kJ mol</w:t>
            </w:r>
            <w:r w:rsidRPr="00D4061F">
              <w:rPr>
                <w:rFonts w:cs="Times New Roman"/>
                <w:vertAlign w:val="superscript"/>
              </w:rPr>
              <w:t>-1</w:t>
            </w:r>
          </w:p>
        </w:tc>
        <w:tc>
          <w:tcPr>
            <w:tcW w:w="2785" w:type="dxa"/>
            <w:vAlign w:val="center"/>
          </w:tcPr>
          <w:p w14:paraId="2229D60A" w14:textId="77777777" w:rsidR="00CB2EE2" w:rsidRPr="00D4061F" w:rsidRDefault="00CB2EE2" w:rsidP="00543A53">
            <w:pPr>
              <w:pStyle w:val="NoSpacing"/>
              <w:rPr>
                <w:rFonts w:cs="Times New Roman"/>
              </w:rPr>
            </w:pPr>
            <w:r>
              <w:rPr>
                <w:rFonts w:cs="Times New Roman"/>
              </w:rPr>
              <w:t>-</w:t>
            </w:r>
            <w:r w:rsidRPr="00D4061F">
              <w:rPr>
                <w:rFonts w:cs="Times New Roman"/>
              </w:rPr>
              <w:t>8.84</w:t>
            </w:r>
          </w:p>
        </w:tc>
      </w:tr>
      <w:tr w:rsidR="00CB2EE2" w14:paraId="3842228A" w14:textId="77777777" w:rsidTr="00CD4AEB">
        <w:trPr>
          <w:trHeight w:hRule="exact" w:val="432"/>
        </w:trPr>
        <w:tc>
          <w:tcPr>
            <w:tcW w:w="3116" w:type="dxa"/>
            <w:vAlign w:val="center"/>
          </w:tcPr>
          <w:p w14:paraId="6CC4B845" w14:textId="77777777" w:rsidR="00CB2EE2" w:rsidRDefault="00CB2EE2" w:rsidP="00543A53">
            <w:pPr>
              <w:pStyle w:val="NoSpacing"/>
              <w:rPr>
                <w:rFonts w:cs="Times New Roman"/>
                <w:b/>
                <w:bCs/>
              </w:rPr>
            </w:pPr>
          </w:p>
        </w:tc>
        <w:tc>
          <w:tcPr>
            <w:tcW w:w="3449" w:type="dxa"/>
            <w:vAlign w:val="center"/>
          </w:tcPr>
          <w:p w14:paraId="51DE1F15" w14:textId="312F12DB" w:rsidR="00CB2EE2" w:rsidRDefault="00CB2EE2" w:rsidP="00543A53">
            <w:pPr>
              <w:pStyle w:val="NoSpacing"/>
              <w:rPr>
                <w:rFonts w:cs="Times New Roman"/>
                <w:b/>
                <w:bCs/>
              </w:rPr>
            </w:pPr>
            <w:r>
              <w:rPr>
                <w:rFonts w:cs="Times New Roman"/>
                <w:b/>
                <w:bCs/>
              </w:rPr>
              <w:t>Std deviation fit</w:t>
            </w:r>
            <w:r w:rsidR="00531C59">
              <w:rPr>
                <w:rFonts w:cs="Times New Roman"/>
                <w:b/>
                <w:bCs/>
              </w:rPr>
              <w:t xml:space="preserve"> /mmol g</w:t>
            </w:r>
            <w:r w:rsidR="00531C59">
              <w:rPr>
                <w:rFonts w:cs="Times New Roman"/>
                <w:b/>
                <w:bCs/>
                <w:vertAlign w:val="superscript"/>
              </w:rPr>
              <w:t>-1</w:t>
            </w:r>
            <w:r>
              <w:rPr>
                <w:rFonts w:cs="Times New Roman"/>
                <w:b/>
                <w:bCs/>
              </w:rPr>
              <w:t>:</w:t>
            </w:r>
          </w:p>
        </w:tc>
        <w:tc>
          <w:tcPr>
            <w:tcW w:w="2785" w:type="dxa"/>
            <w:vAlign w:val="center"/>
          </w:tcPr>
          <w:p w14:paraId="515B57BF" w14:textId="77777777" w:rsidR="00CB2EE2" w:rsidRDefault="00CB2EE2" w:rsidP="00543A53">
            <w:pPr>
              <w:pStyle w:val="NoSpacing"/>
              <w:rPr>
                <w:rFonts w:cs="Times New Roman"/>
                <w:b/>
                <w:bCs/>
              </w:rPr>
            </w:pPr>
            <w:r>
              <w:rPr>
                <w:rFonts w:cs="Times New Roman"/>
                <w:b/>
                <w:bCs/>
              </w:rPr>
              <w:t>7.63 × 10</w:t>
            </w:r>
            <w:r w:rsidRPr="00D4061F">
              <w:rPr>
                <w:rFonts w:cs="Times New Roman"/>
                <w:b/>
                <w:bCs/>
                <w:vertAlign w:val="superscript"/>
              </w:rPr>
              <w:t>-5</w:t>
            </w:r>
          </w:p>
        </w:tc>
      </w:tr>
      <w:tr w:rsidR="00CB2EE2" w14:paraId="2AAAD787" w14:textId="77777777" w:rsidTr="00CD4AEB">
        <w:trPr>
          <w:trHeight w:hRule="exact" w:val="432"/>
        </w:trPr>
        <w:tc>
          <w:tcPr>
            <w:tcW w:w="3116" w:type="dxa"/>
            <w:vAlign w:val="center"/>
          </w:tcPr>
          <w:p w14:paraId="5C33CE0A" w14:textId="77777777" w:rsidR="00CB2EE2" w:rsidRDefault="00CB2EE2" w:rsidP="00543A53">
            <w:pPr>
              <w:pStyle w:val="NoSpacing"/>
              <w:rPr>
                <w:rFonts w:cs="Times New Roman"/>
                <w:b/>
                <w:bCs/>
              </w:rPr>
            </w:pPr>
          </w:p>
        </w:tc>
        <w:tc>
          <w:tcPr>
            <w:tcW w:w="3449" w:type="dxa"/>
            <w:vAlign w:val="center"/>
          </w:tcPr>
          <w:p w14:paraId="4A744187" w14:textId="50695A9D" w:rsidR="00CB2EE2" w:rsidRPr="00D4061F" w:rsidRDefault="00CB2EE2" w:rsidP="00543A53">
            <w:pPr>
              <w:pStyle w:val="NoSpacing"/>
              <w:rPr>
                <w:rFonts w:cs="Times New Roman"/>
              </w:rPr>
            </w:pPr>
            <w:r w:rsidRPr="00D4061F">
              <w:rPr>
                <w:rFonts w:cs="Times New Roman"/>
              </w:rPr>
              <w:t>Deviation/full</w:t>
            </w:r>
            <w:r w:rsidR="00CD4AEB">
              <w:rPr>
                <w:rFonts w:cs="Times New Roman"/>
              </w:rPr>
              <w:t xml:space="preserve"> TOTAL</w:t>
            </w:r>
            <w:r w:rsidR="000F1D16" w:rsidRPr="00D4061F">
              <w:rPr>
                <w:rFonts w:cs="Times New Roman"/>
              </w:rPr>
              <w:t xml:space="preserve"> </w:t>
            </w:r>
            <w:r w:rsidR="000F1D16">
              <w:rPr>
                <w:rFonts w:cs="Times New Roman"/>
              </w:rPr>
              <w:t>data</w:t>
            </w:r>
            <w:r w:rsidR="00CD4AEB">
              <w:rPr>
                <w:rFonts w:cs="Times New Roman"/>
              </w:rPr>
              <w:t xml:space="preserve"> </w:t>
            </w:r>
            <w:r w:rsidR="000F1D16">
              <w:rPr>
                <w:rFonts w:cs="Times New Roman"/>
              </w:rPr>
              <w:t>range</w:t>
            </w:r>
          </w:p>
        </w:tc>
        <w:tc>
          <w:tcPr>
            <w:tcW w:w="2785" w:type="dxa"/>
            <w:vAlign w:val="center"/>
          </w:tcPr>
          <w:p w14:paraId="6902C776" w14:textId="77777777" w:rsidR="00CB2EE2" w:rsidRPr="00D4061F" w:rsidRDefault="00CB2EE2" w:rsidP="00543A53">
            <w:pPr>
              <w:pStyle w:val="NoSpacing"/>
              <w:rPr>
                <w:rFonts w:cs="Times New Roman"/>
              </w:rPr>
            </w:pPr>
            <w:r w:rsidRPr="00D4061F">
              <w:rPr>
                <w:rFonts w:cs="Times New Roman"/>
              </w:rPr>
              <w:t>0.0059 %</w:t>
            </w:r>
          </w:p>
        </w:tc>
      </w:tr>
      <w:tr w:rsidR="00CB2EE2" w14:paraId="4C23E049" w14:textId="77777777" w:rsidTr="00CD4AEB">
        <w:trPr>
          <w:trHeight w:hRule="exact" w:val="432"/>
        </w:trPr>
        <w:tc>
          <w:tcPr>
            <w:tcW w:w="3116" w:type="dxa"/>
            <w:vAlign w:val="center"/>
          </w:tcPr>
          <w:p w14:paraId="771B31D4" w14:textId="77777777" w:rsidR="00CB2EE2" w:rsidRDefault="00CB2EE2" w:rsidP="00543A53">
            <w:pPr>
              <w:pStyle w:val="NoSpacing"/>
              <w:rPr>
                <w:rFonts w:cs="Times New Roman"/>
                <w:b/>
                <w:bCs/>
              </w:rPr>
            </w:pPr>
          </w:p>
        </w:tc>
        <w:tc>
          <w:tcPr>
            <w:tcW w:w="3449" w:type="dxa"/>
            <w:vAlign w:val="center"/>
          </w:tcPr>
          <w:p w14:paraId="69537F69" w14:textId="77777777" w:rsidR="00CB2EE2" w:rsidRDefault="00CB2EE2" w:rsidP="00543A53">
            <w:pPr>
              <w:pStyle w:val="NoSpacing"/>
              <w:rPr>
                <w:rFonts w:cs="Times New Roman"/>
                <w:b/>
                <w:bCs/>
              </w:rPr>
            </w:pPr>
            <w:r>
              <w:rPr>
                <w:rFonts w:cs="Times New Roman"/>
                <w:b/>
                <w:bCs/>
              </w:rPr>
              <w:t>σ (heterogeneity)</w:t>
            </w:r>
          </w:p>
        </w:tc>
        <w:tc>
          <w:tcPr>
            <w:tcW w:w="2785" w:type="dxa"/>
            <w:vAlign w:val="center"/>
          </w:tcPr>
          <w:p w14:paraId="434BC07A" w14:textId="77777777" w:rsidR="00CB2EE2" w:rsidRDefault="00CB2EE2" w:rsidP="00543A53">
            <w:pPr>
              <w:pStyle w:val="NoSpacing"/>
              <w:rPr>
                <w:rFonts w:cs="Times New Roman"/>
                <w:b/>
                <w:bCs/>
              </w:rPr>
            </w:pPr>
            <w:r>
              <w:rPr>
                <w:rFonts w:cs="Times New Roman"/>
                <w:b/>
                <w:bCs/>
              </w:rPr>
              <w:t>0.2048</w:t>
            </w:r>
          </w:p>
        </w:tc>
      </w:tr>
      <w:tr w:rsidR="00ED7270" w14:paraId="0789A69F" w14:textId="77777777" w:rsidTr="00CD4AEB">
        <w:trPr>
          <w:trHeight w:hRule="exact" w:val="432"/>
        </w:trPr>
        <w:tc>
          <w:tcPr>
            <w:tcW w:w="3116" w:type="dxa"/>
            <w:vAlign w:val="center"/>
          </w:tcPr>
          <w:p w14:paraId="4C37F4EB" w14:textId="77777777" w:rsidR="00ED7270" w:rsidRDefault="00ED7270" w:rsidP="00543A53">
            <w:pPr>
              <w:pStyle w:val="NoSpacing"/>
              <w:rPr>
                <w:rFonts w:cs="Times New Roman"/>
                <w:b/>
                <w:bCs/>
              </w:rPr>
            </w:pPr>
          </w:p>
        </w:tc>
        <w:tc>
          <w:tcPr>
            <w:tcW w:w="3449" w:type="dxa"/>
            <w:vAlign w:val="center"/>
          </w:tcPr>
          <w:p w14:paraId="19BBBA75" w14:textId="41DC084A" w:rsidR="00ED7270" w:rsidRPr="00ED7270" w:rsidRDefault="00ED7270" w:rsidP="00543A53">
            <w:pPr>
              <w:pStyle w:val="NoSpacing"/>
              <w:rPr>
                <w:rFonts w:cs="Times New Roman"/>
                <w:b/>
                <w:bCs/>
              </w:rPr>
            </w:pPr>
            <w:r>
              <w:rPr>
                <w:rFonts w:cs="Times New Roman"/>
                <w:b/>
                <w:bCs/>
              </w:rPr>
              <w:t>&lt;</w:t>
            </w:r>
            <w:proofErr w:type="spellStart"/>
            <w:r>
              <w:rPr>
                <w:rFonts w:cs="Times New Roman"/>
                <w:b/>
                <w:bCs/>
              </w:rPr>
              <w:t>Δ</w:t>
            </w:r>
            <w:r>
              <w:rPr>
                <w:rFonts w:cs="Times New Roman"/>
                <w:b/>
                <w:bCs/>
                <w:i/>
                <w:iCs/>
              </w:rPr>
              <w:t>Ē</w:t>
            </w:r>
            <w:r>
              <w:rPr>
                <w:rFonts w:cs="Times New Roman"/>
                <w:b/>
                <w:bCs/>
                <w:vertAlign w:val="subscript"/>
              </w:rPr>
              <w:t>a</w:t>
            </w:r>
            <w:proofErr w:type="spellEnd"/>
            <w:r>
              <w:rPr>
                <w:rFonts w:cs="Times New Roman"/>
                <w:b/>
                <w:bCs/>
              </w:rPr>
              <w:t xml:space="preserve">&gt; </w:t>
            </w:r>
            <w:r w:rsidRPr="00D4061F">
              <w:rPr>
                <w:rFonts w:cs="Times New Roman"/>
              </w:rPr>
              <w:t>/kJ mol</w:t>
            </w:r>
            <w:r w:rsidRPr="00D4061F">
              <w:rPr>
                <w:rFonts w:cs="Times New Roman"/>
                <w:vertAlign w:val="superscript"/>
              </w:rPr>
              <w:t>-1</w:t>
            </w:r>
          </w:p>
        </w:tc>
        <w:tc>
          <w:tcPr>
            <w:tcW w:w="2785" w:type="dxa"/>
            <w:vAlign w:val="center"/>
          </w:tcPr>
          <w:p w14:paraId="51ECE13C" w14:textId="23DF93B8" w:rsidR="00ED7270" w:rsidRDefault="00ED7270" w:rsidP="00543A53">
            <w:pPr>
              <w:pStyle w:val="NoSpacing"/>
              <w:rPr>
                <w:rFonts w:cs="Times New Roman"/>
                <w:b/>
                <w:bCs/>
              </w:rPr>
            </w:pPr>
            <w:r>
              <w:rPr>
                <w:rFonts w:cs="Times New Roman"/>
                <w:b/>
                <w:bCs/>
              </w:rPr>
              <w:t>0.64</w:t>
            </w:r>
          </w:p>
        </w:tc>
      </w:tr>
      <w:tr w:rsidR="00CB2EE2" w14:paraId="458968F2" w14:textId="77777777" w:rsidTr="00CD4AEB">
        <w:trPr>
          <w:trHeight w:hRule="exact" w:val="432"/>
        </w:trPr>
        <w:tc>
          <w:tcPr>
            <w:tcW w:w="3116" w:type="dxa"/>
            <w:vAlign w:val="center"/>
          </w:tcPr>
          <w:p w14:paraId="176033CD" w14:textId="77777777" w:rsidR="00CB2EE2" w:rsidRDefault="00CB2EE2" w:rsidP="00543A53">
            <w:pPr>
              <w:pStyle w:val="NoSpacing"/>
              <w:rPr>
                <w:rFonts w:cs="Times New Roman"/>
                <w:b/>
                <w:bCs/>
              </w:rPr>
            </w:pPr>
          </w:p>
        </w:tc>
        <w:tc>
          <w:tcPr>
            <w:tcW w:w="3449" w:type="dxa"/>
            <w:vAlign w:val="center"/>
          </w:tcPr>
          <w:p w14:paraId="60B00CCC" w14:textId="77777777" w:rsidR="00CB2EE2" w:rsidRPr="00D4061F" w:rsidRDefault="00CB2EE2" w:rsidP="00543A53">
            <w:pPr>
              <w:pStyle w:val="NoSpacing"/>
              <w:rPr>
                <w:rFonts w:cs="Times New Roman"/>
                <w:b/>
                <w:bCs/>
              </w:rPr>
            </w:pPr>
            <w:r>
              <w:rPr>
                <w:rFonts w:cs="Times New Roman"/>
                <w:b/>
                <w:bCs/>
                <w:i/>
                <w:iCs/>
              </w:rPr>
              <w:t>P</w:t>
            </w:r>
            <w:r w:rsidRPr="00A51D05">
              <w:rPr>
                <w:rFonts w:cs="Times New Roman"/>
                <w:b/>
                <w:bCs/>
                <w:vertAlign w:val="subscript"/>
              </w:rPr>
              <w:t>v</w:t>
            </w:r>
            <w:r>
              <w:rPr>
                <w:rFonts w:cs="Times New Roman"/>
                <w:b/>
                <w:bCs/>
                <w:vertAlign w:val="subscript"/>
              </w:rPr>
              <w:t>ap</w:t>
            </w:r>
            <w:r>
              <w:rPr>
                <w:rFonts w:cs="Times New Roman"/>
                <w:b/>
                <w:bCs/>
              </w:rPr>
              <w:t xml:space="preserve"> adsorptive /bar</w:t>
            </w:r>
          </w:p>
        </w:tc>
        <w:tc>
          <w:tcPr>
            <w:tcW w:w="2785" w:type="dxa"/>
            <w:vAlign w:val="center"/>
          </w:tcPr>
          <w:p w14:paraId="5CE7D955" w14:textId="77777777" w:rsidR="00CB2EE2" w:rsidRDefault="00CB2EE2" w:rsidP="00543A53">
            <w:pPr>
              <w:pStyle w:val="NoSpacing"/>
              <w:rPr>
                <w:rFonts w:cs="Times New Roman"/>
                <w:b/>
                <w:bCs/>
              </w:rPr>
            </w:pPr>
            <w:r>
              <w:rPr>
                <w:rFonts w:cs="Times New Roman"/>
                <w:b/>
                <w:bCs/>
              </w:rPr>
              <w:t>1.0089</w:t>
            </w:r>
          </w:p>
        </w:tc>
      </w:tr>
      <w:tr w:rsidR="00D95838" w14:paraId="78F9A77E" w14:textId="77777777" w:rsidTr="00CD4AEB">
        <w:trPr>
          <w:trHeight w:hRule="exact" w:val="432"/>
        </w:trPr>
        <w:tc>
          <w:tcPr>
            <w:tcW w:w="3116" w:type="dxa"/>
            <w:vAlign w:val="center"/>
          </w:tcPr>
          <w:p w14:paraId="5E75AAED" w14:textId="77777777" w:rsidR="00D95838" w:rsidRDefault="00D95838" w:rsidP="00543A53">
            <w:pPr>
              <w:pStyle w:val="NoSpacing"/>
              <w:rPr>
                <w:rFonts w:cs="Times New Roman"/>
                <w:b/>
                <w:bCs/>
              </w:rPr>
            </w:pPr>
          </w:p>
        </w:tc>
        <w:tc>
          <w:tcPr>
            <w:tcW w:w="3449" w:type="dxa"/>
            <w:vAlign w:val="center"/>
          </w:tcPr>
          <w:p w14:paraId="632B3A89" w14:textId="7E60FA4B" w:rsidR="00D95838" w:rsidRDefault="000F5F31" w:rsidP="00543A53">
            <w:pPr>
              <w:pStyle w:val="NoSpacing"/>
              <w:rPr>
                <w:rFonts w:cs="Times New Roman"/>
                <w:b/>
                <w:bCs/>
                <w:i/>
                <w:iCs/>
              </w:rPr>
            </w:pPr>
            <w:r w:rsidRPr="000F5F31">
              <w:rPr>
                <w:rFonts w:cs="Times New Roman"/>
                <w:b/>
                <w:bCs/>
              </w:rPr>
              <w:t>Δ</w:t>
            </w:r>
            <w:r>
              <w:rPr>
                <w:rFonts w:cs="Times New Roman"/>
                <w:b/>
                <w:bCs/>
                <w:i/>
                <w:iCs/>
              </w:rPr>
              <w:t xml:space="preserve">T </w:t>
            </w:r>
          </w:p>
        </w:tc>
        <w:tc>
          <w:tcPr>
            <w:tcW w:w="2785" w:type="dxa"/>
            <w:vAlign w:val="center"/>
          </w:tcPr>
          <w:p w14:paraId="0C717DF4" w14:textId="5358DF1D" w:rsidR="00D95838" w:rsidRDefault="000F5F31" w:rsidP="00543A53">
            <w:pPr>
              <w:pStyle w:val="NoSpacing"/>
              <w:rPr>
                <w:rFonts w:cs="Times New Roman"/>
                <w:b/>
                <w:bCs/>
              </w:rPr>
            </w:pPr>
            <w:r>
              <w:rPr>
                <w:rFonts w:cs="Times New Roman"/>
                <w:b/>
                <w:bCs/>
              </w:rPr>
              <w:sym w:font="Symbol" w:char="F0A3"/>
            </w:r>
            <w:r>
              <w:rPr>
                <w:rFonts w:cs="Times New Roman"/>
                <w:b/>
                <w:bCs/>
              </w:rPr>
              <w:t>+0.01 K</w:t>
            </w:r>
          </w:p>
        </w:tc>
      </w:tr>
      <w:tr w:rsidR="00CB2EE2" w14:paraId="4D9D2743" w14:textId="77777777" w:rsidTr="00CD4AEB">
        <w:trPr>
          <w:trHeight w:hRule="exact" w:val="432"/>
        </w:trPr>
        <w:tc>
          <w:tcPr>
            <w:tcW w:w="3116" w:type="dxa"/>
            <w:vAlign w:val="center"/>
          </w:tcPr>
          <w:p w14:paraId="438BE84D" w14:textId="77777777" w:rsidR="00CB2EE2" w:rsidRDefault="00CB2EE2" w:rsidP="00543A53">
            <w:pPr>
              <w:pStyle w:val="NoSpacing"/>
              <w:rPr>
                <w:rFonts w:cs="Times New Roman"/>
                <w:b/>
                <w:bCs/>
              </w:rPr>
            </w:pPr>
            <w:r>
              <w:rPr>
                <w:rFonts w:cs="Times New Roman"/>
                <w:b/>
                <w:bCs/>
              </w:rPr>
              <w:t>QM output parameters</w:t>
            </w:r>
          </w:p>
        </w:tc>
        <w:tc>
          <w:tcPr>
            <w:tcW w:w="3449" w:type="dxa"/>
            <w:vAlign w:val="center"/>
          </w:tcPr>
          <w:p w14:paraId="695BAA63" w14:textId="77777777" w:rsidR="00CB2EE2" w:rsidRDefault="00CB2EE2" w:rsidP="00543A53">
            <w:pPr>
              <w:pStyle w:val="NoSpacing"/>
              <w:rPr>
                <w:rFonts w:cs="Times New Roman"/>
                <w:b/>
                <w:bCs/>
                <w:i/>
                <w:iCs/>
              </w:rPr>
            </w:pPr>
            <w:r>
              <w:rPr>
                <w:rFonts w:cs="Times New Roman"/>
                <w:b/>
                <w:bCs/>
                <w:i/>
                <w:iCs/>
              </w:rPr>
              <w:t>n</w:t>
            </w:r>
            <w:r>
              <w:rPr>
                <w:rFonts w:cs="Times New Roman"/>
                <w:b/>
                <w:bCs/>
                <w:vertAlign w:val="subscript"/>
              </w:rPr>
              <w:t>ads</w:t>
            </w:r>
            <w:r>
              <w:rPr>
                <w:rFonts w:cs="Times New Roman"/>
                <w:b/>
                <w:bCs/>
              </w:rPr>
              <w:t xml:space="preserve"> /mmol g</w:t>
            </w:r>
            <w:r>
              <w:rPr>
                <w:rFonts w:cs="Times New Roman"/>
                <w:b/>
                <w:bCs/>
                <w:vertAlign w:val="superscript"/>
              </w:rPr>
              <w:t>-1</w:t>
            </w:r>
            <w:r>
              <w:rPr>
                <w:rFonts w:cs="Times New Roman"/>
                <w:b/>
                <w:bCs/>
                <w:vertAlign w:val="subscript"/>
              </w:rPr>
              <w:t>:</w:t>
            </w:r>
          </w:p>
        </w:tc>
        <w:tc>
          <w:tcPr>
            <w:tcW w:w="2785" w:type="dxa"/>
            <w:vAlign w:val="center"/>
          </w:tcPr>
          <w:p w14:paraId="7CA47EB0" w14:textId="77777777" w:rsidR="00CB2EE2" w:rsidRDefault="00CB2EE2" w:rsidP="00543A53">
            <w:pPr>
              <w:pStyle w:val="NoSpacing"/>
              <w:rPr>
                <w:rFonts w:cs="Times New Roman"/>
                <w:b/>
                <w:bCs/>
              </w:rPr>
            </w:pPr>
            <w:r>
              <w:rPr>
                <w:rFonts w:cs="Times New Roman"/>
                <w:b/>
                <w:bCs/>
              </w:rPr>
              <w:t>0.156</w:t>
            </w:r>
          </w:p>
        </w:tc>
      </w:tr>
      <w:tr w:rsidR="00CB2EE2" w14:paraId="587E2D07" w14:textId="77777777" w:rsidTr="00CD4AEB">
        <w:trPr>
          <w:trHeight w:hRule="exact" w:val="432"/>
        </w:trPr>
        <w:tc>
          <w:tcPr>
            <w:tcW w:w="3116" w:type="dxa"/>
            <w:vAlign w:val="center"/>
          </w:tcPr>
          <w:p w14:paraId="20F822F6" w14:textId="7FB5C9A9" w:rsidR="00CB2EE2" w:rsidRDefault="00EA103A" w:rsidP="00543A53">
            <w:pPr>
              <w:pStyle w:val="NoSpacing"/>
              <w:rPr>
                <w:rFonts w:cs="Times New Roman"/>
                <w:b/>
                <w:bCs/>
              </w:rPr>
            </w:pPr>
            <w:r>
              <w:rPr>
                <w:rFonts w:cs="Times New Roman"/>
                <w:b/>
                <w:bCs/>
              </w:rPr>
              <w:t>w</w:t>
            </w:r>
            <w:r w:rsidRPr="00EA103A">
              <w:rPr>
                <w:rFonts w:cs="Times New Roman"/>
                <w:b/>
                <w:bCs/>
              </w:rPr>
              <w:t>ith</w:t>
            </w:r>
            <w:r>
              <w:rPr>
                <w:rFonts w:cs="Times New Roman"/>
                <w:b/>
                <w:bCs/>
              </w:rPr>
              <w:t>out</w:t>
            </w:r>
            <w:r w:rsidRPr="00EA103A">
              <w:rPr>
                <w:rFonts w:cs="Times New Roman"/>
                <w:b/>
                <w:bCs/>
              </w:rPr>
              <w:t xml:space="preserve"> </w:t>
            </w:r>
            <w:r>
              <w:rPr>
                <w:rFonts w:cs="Times New Roman"/>
                <w:b/>
                <w:bCs/>
                <w:i/>
                <w:iCs/>
              </w:rPr>
              <w:t xml:space="preserve">T </w:t>
            </w:r>
            <w:r>
              <w:rPr>
                <w:rFonts w:cs="Times New Roman"/>
                <w:b/>
                <w:bCs/>
              </w:rPr>
              <w:t>correction</w:t>
            </w:r>
            <w:r w:rsidR="00CD4AEB">
              <w:rPr>
                <w:rFonts w:cs="Times New Roman"/>
                <w:b/>
                <w:bCs/>
              </w:rPr>
              <w:t xml:space="preserve"> and  </w:t>
            </w:r>
          </w:p>
        </w:tc>
        <w:tc>
          <w:tcPr>
            <w:tcW w:w="3449" w:type="dxa"/>
            <w:vAlign w:val="center"/>
          </w:tcPr>
          <w:p w14:paraId="6A62073D" w14:textId="77777777" w:rsidR="00CB2EE2" w:rsidRDefault="00CB2EE2" w:rsidP="00543A53">
            <w:pPr>
              <w:pStyle w:val="NoSpacing"/>
              <w:rPr>
                <w:rFonts w:cs="Times New Roman"/>
                <w:b/>
                <w:bCs/>
                <w:i/>
                <w:iCs/>
              </w:rPr>
            </w:pPr>
            <w:r w:rsidRPr="00D4061F">
              <w:rPr>
                <w:rFonts w:cs="Times New Roman"/>
                <w:i/>
                <w:iCs/>
              </w:rPr>
              <w:t xml:space="preserve">A </w:t>
            </w:r>
            <w:r w:rsidRPr="00D4061F">
              <w:rPr>
                <w:rFonts w:cs="Times New Roman"/>
              </w:rPr>
              <w:t>/m</w:t>
            </w:r>
            <w:r w:rsidRPr="00D4061F">
              <w:rPr>
                <w:rFonts w:cs="Times New Roman"/>
                <w:vertAlign w:val="superscript"/>
              </w:rPr>
              <w:t>2</w:t>
            </w:r>
            <w:r w:rsidRPr="00D4061F">
              <w:rPr>
                <w:rFonts w:cs="Times New Roman"/>
              </w:rPr>
              <w:t xml:space="preserve"> g</w:t>
            </w:r>
            <w:r w:rsidRPr="00D4061F">
              <w:rPr>
                <w:rFonts w:cs="Times New Roman"/>
                <w:vertAlign w:val="superscript"/>
              </w:rPr>
              <w:t>-2</w:t>
            </w:r>
            <w:r w:rsidRPr="00D4061F">
              <w:rPr>
                <w:rFonts w:cs="Times New Roman"/>
              </w:rPr>
              <w:t xml:space="preserve"> (IUPAC)</w:t>
            </w:r>
          </w:p>
        </w:tc>
        <w:tc>
          <w:tcPr>
            <w:tcW w:w="2785" w:type="dxa"/>
            <w:vAlign w:val="center"/>
          </w:tcPr>
          <w:p w14:paraId="4DBCA120" w14:textId="77777777" w:rsidR="00CB2EE2" w:rsidRPr="00374579" w:rsidRDefault="00CB2EE2" w:rsidP="00543A53">
            <w:pPr>
              <w:pStyle w:val="NoSpacing"/>
              <w:rPr>
                <w:rFonts w:cs="Times New Roman"/>
              </w:rPr>
            </w:pPr>
            <w:r w:rsidRPr="00374579">
              <w:rPr>
                <w:rFonts w:cs="Times New Roman"/>
              </w:rPr>
              <w:t>15.2</w:t>
            </w:r>
          </w:p>
        </w:tc>
      </w:tr>
      <w:tr w:rsidR="00CB2EE2" w14:paraId="7828B19E" w14:textId="77777777" w:rsidTr="00CD4AEB">
        <w:trPr>
          <w:trHeight w:hRule="exact" w:val="432"/>
        </w:trPr>
        <w:tc>
          <w:tcPr>
            <w:tcW w:w="3116" w:type="dxa"/>
            <w:vAlign w:val="center"/>
          </w:tcPr>
          <w:p w14:paraId="7B924EAA" w14:textId="38DFF201" w:rsidR="00CB2EE2" w:rsidRDefault="00BB39E4" w:rsidP="00543A53">
            <w:pPr>
              <w:pStyle w:val="NoSpacing"/>
              <w:rPr>
                <w:rFonts w:cs="Times New Roman"/>
                <w:b/>
                <w:bCs/>
              </w:rPr>
            </w:pPr>
            <w:r>
              <w:rPr>
                <w:rFonts w:cs="Times New Roman"/>
                <w:b/>
                <w:bCs/>
              </w:rPr>
              <w:t>no heterogeneity</w:t>
            </w:r>
            <w:r w:rsidR="00CD4AEB">
              <w:rPr>
                <w:rFonts w:cs="Times New Roman"/>
                <w:b/>
                <w:bCs/>
              </w:rPr>
              <w:t>- no limits</w:t>
            </w:r>
          </w:p>
        </w:tc>
        <w:tc>
          <w:tcPr>
            <w:tcW w:w="3449" w:type="dxa"/>
            <w:vAlign w:val="center"/>
          </w:tcPr>
          <w:p w14:paraId="36E0C9E4" w14:textId="77777777" w:rsidR="00CB2EE2" w:rsidRDefault="00CB2EE2" w:rsidP="00543A53">
            <w:pPr>
              <w:pStyle w:val="NoSpacing"/>
              <w:rPr>
                <w:rFonts w:cs="Times New Roman"/>
                <w:b/>
                <w:bCs/>
              </w:rPr>
            </w:pPr>
            <w:r>
              <w:rPr>
                <w:rFonts w:cs="Times New Roman"/>
                <w:b/>
                <w:bCs/>
              </w:rPr>
              <w:t>μ</w:t>
            </w:r>
            <w:r w:rsidRPr="00D4061F">
              <w:rPr>
                <w:rFonts w:cs="Times New Roman"/>
                <w:b/>
                <w:bCs/>
                <w:vertAlign w:val="subscript"/>
              </w:rPr>
              <w:t>ς</w:t>
            </w:r>
            <w:r>
              <w:rPr>
                <w:rFonts w:cs="Times New Roman"/>
                <w:b/>
                <w:bCs/>
              </w:rPr>
              <w:t xml:space="preserve"> = χ</w:t>
            </w:r>
            <w:r w:rsidRPr="002B3876">
              <w:rPr>
                <w:rFonts w:cs="Times New Roman"/>
                <w:b/>
                <w:bCs/>
                <w:vertAlign w:val="subscript"/>
              </w:rPr>
              <w:t>ς</w:t>
            </w:r>
          </w:p>
        </w:tc>
        <w:tc>
          <w:tcPr>
            <w:tcW w:w="2785" w:type="dxa"/>
            <w:vAlign w:val="center"/>
          </w:tcPr>
          <w:p w14:paraId="68AE0CAA" w14:textId="205080BC" w:rsidR="00CB2EE2" w:rsidRDefault="00CB2EE2" w:rsidP="00543A53">
            <w:pPr>
              <w:pStyle w:val="NoSpacing"/>
              <w:rPr>
                <w:rFonts w:cs="Times New Roman"/>
                <w:b/>
                <w:bCs/>
              </w:rPr>
            </w:pPr>
            <w:r>
              <w:rPr>
                <w:rFonts w:cs="Times New Roman"/>
                <w:b/>
                <w:bCs/>
              </w:rPr>
              <w:t>-2.61</w:t>
            </w:r>
            <w:r w:rsidR="00BB39E4">
              <w:rPr>
                <w:rFonts w:cs="Times New Roman"/>
                <w:b/>
                <w:bCs/>
              </w:rPr>
              <w:t>15</w:t>
            </w:r>
          </w:p>
        </w:tc>
      </w:tr>
      <w:tr w:rsidR="00CB2EE2" w14:paraId="510F5A76" w14:textId="77777777" w:rsidTr="00CD4AEB">
        <w:trPr>
          <w:trHeight w:hRule="exact" w:val="432"/>
        </w:trPr>
        <w:tc>
          <w:tcPr>
            <w:tcW w:w="3116" w:type="dxa"/>
            <w:vAlign w:val="center"/>
          </w:tcPr>
          <w:p w14:paraId="4C32EEC3" w14:textId="28F18551" w:rsidR="00CB2EE2" w:rsidRDefault="00CD4AEB" w:rsidP="00543A53">
            <w:pPr>
              <w:pStyle w:val="NoSpacing"/>
              <w:rPr>
                <w:rFonts w:cs="Times New Roman"/>
                <w:b/>
                <w:bCs/>
              </w:rPr>
            </w:pPr>
            <w:r>
              <w:rPr>
                <w:rFonts w:cs="Times New Roman"/>
                <w:b/>
                <w:bCs/>
              </w:rPr>
              <w:t>2 parameters</w:t>
            </w:r>
          </w:p>
        </w:tc>
        <w:tc>
          <w:tcPr>
            <w:tcW w:w="3449" w:type="dxa"/>
            <w:vAlign w:val="center"/>
          </w:tcPr>
          <w:p w14:paraId="58FE8C20" w14:textId="77777777" w:rsidR="00CB2EE2" w:rsidRPr="00D4061F" w:rsidRDefault="00CB2EE2" w:rsidP="00543A53">
            <w:pPr>
              <w:pStyle w:val="NoSpacing"/>
              <w:rPr>
                <w:rFonts w:cs="Times New Roman"/>
                <w:i/>
                <w:iCs/>
              </w:rPr>
            </w:pPr>
            <w:r w:rsidRPr="00D4061F">
              <w:rPr>
                <w:rFonts w:cs="Times New Roman"/>
                <w:i/>
                <w:iCs/>
              </w:rPr>
              <w:t>E</w:t>
            </w:r>
            <w:r w:rsidRPr="00D4061F">
              <w:rPr>
                <w:rFonts w:cs="Times New Roman"/>
              </w:rPr>
              <w:t>a /kJ mol</w:t>
            </w:r>
            <w:r w:rsidRPr="00D4061F">
              <w:rPr>
                <w:rFonts w:cs="Times New Roman"/>
                <w:vertAlign w:val="superscript"/>
              </w:rPr>
              <w:t>-1</w:t>
            </w:r>
          </w:p>
        </w:tc>
        <w:tc>
          <w:tcPr>
            <w:tcW w:w="2785" w:type="dxa"/>
            <w:vAlign w:val="center"/>
          </w:tcPr>
          <w:p w14:paraId="385286EF" w14:textId="77777777" w:rsidR="00CB2EE2" w:rsidRPr="00374579" w:rsidRDefault="00CB2EE2" w:rsidP="00543A53">
            <w:pPr>
              <w:pStyle w:val="NoSpacing"/>
              <w:rPr>
                <w:rFonts w:cs="Times New Roman"/>
              </w:rPr>
            </w:pPr>
            <w:r>
              <w:rPr>
                <w:rFonts w:cs="Times New Roman"/>
              </w:rPr>
              <w:t>-</w:t>
            </w:r>
            <w:r w:rsidRPr="00374579">
              <w:rPr>
                <w:rFonts w:cs="Times New Roman"/>
              </w:rPr>
              <w:t>8.92</w:t>
            </w:r>
          </w:p>
        </w:tc>
      </w:tr>
      <w:tr w:rsidR="00CB2EE2" w14:paraId="73DC4857" w14:textId="77777777" w:rsidTr="00CD4AEB">
        <w:trPr>
          <w:trHeight w:hRule="exact" w:val="432"/>
        </w:trPr>
        <w:tc>
          <w:tcPr>
            <w:tcW w:w="3116" w:type="dxa"/>
            <w:vAlign w:val="center"/>
          </w:tcPr>
          <w:p w14:paraId="550E4053" w14:textId="77777777" w:rsidR="00CB2EE2" w:rsidRDefault="00CB2EE2" w:rsidP="00543A53">
            <w:pPr>
              <w:pStyle w:val="NoSpacing"/>
              <w:rPr>
                <w:rFonts w:cs="Times New Roman"/>
                <w:b/>
                <w:bCs/>
              </w:rPr>
            </w:pPr>
          </w:p>
        </w:tc>
        <w:tc>
          <w:tcPr>
            <w:tcW w:w="3449" w:type="dxa"/>
            <w:vAlign w:val="center"/>
          </w:tcPr>
          <w:p w14:paraId="1EC699BB" w14:textId="3945DB0E" w:rsidR="00CB2EE2" w:rsidRDefault="00531C59" w:rsidP="00543A53">
            <w:pPr>
              <w:pStyle w:val="NoSpacing"/>
              <w:rPr>
                <w:rFonts w:cs="Times New Roman"/>
                <w:b/>
                <w:bCs/>
              </w:rPr>
            </w:pPr>
            <w:r>
              <w:rPr>
                <w:rFonts w:cs="Times New Roman"/>
                <w:b/>
                <w:bCs/>
              </w:rPr>
              <w:t>Std deviation fit /mmol g</w:t>
            </w:r>
            <w:r>
              <w:rPr>
                <w:rFonts w:cs="Times New Roman"/>
                <w:b/>
                <w:bCs/>
                <w:vertAlign w:val="superscript"/>
              </w:rPr>
              <w:t>-1</w:t>
            </w:r>
            <w:r>
              <w:rPr>
                <w:rFonts w:cs="Times New Roman"/>
                <w:b/>
                <w:bCs/>
              </w:rPr>
              <w:t>:</w:t>
            </w:r>
          </w:p>
        </w:tc>
        <w:tc>
          <w:tcPr>
            <w:tcW w:w="2785" w:type="dxa"/>
            <w:vAlign w:val="center"/>
          </w:tcPr>
          <w:p w14:paraId="44044BC9" w14:textId="77777777" w:rsidR="00CB2EE2" w:rsidRPr="00374579" w:rsidRDefault="00BB39E4" w:rsidP="00543A53">
            <w:pPr>
              <w:pStyle w:val="NoSpacing"/>
              <w:rPr>
                <w:rFonts w:cs="Times New Roman"/>
                <w:b/>
                <w:bCs/>
                <w:vertAlign w:val="superscript"/>
              </w:rPr>
            </w:pPr>
            <w:r>
              <w:rPr>
                <w:rFonts w:cs="Times New Roman"/>
                <w:b/>
                <w:bCs/>
              </w:rPr>
              <w:t>9.12</w:t>
            </w:r>
            <w:r w:rsidR="00CB2EE2">
              <w:rPr>
                <w:rFonts w:cs="Times New Roman"/>
                <w:b/>
                <w:bCs/>
              </w:rPr>
              <w:t xml:space="preserve"> × 10</w:t>
            </w:r>
            <w:r w:rsidR="00CB2EE2">
              <w:rPr>
                <w:rFonts w:cs="Times New Roman"/>
                <w:b/>
                <w:bCs/>
                <w:vertAlign w:val="superscript"/>
              </w:rPr>
              <w:t>-4</w:t>
            </w:r>
          </w:p>
        </w:tc>
      </w:tr>
      <w:tr w:rsidR="00CB2EE2" w14:paraId="69DD5644" w14:textId="77777777" w:rsidTr="00CD4AEB">
        <w:trPr>
          <w:trHeight w:hRule="exact" w:val="432"/>
        </w:trPr>
        <w:tc>
          <w:tcPr>
            <w:tcW w:w="3116" w:type="dxa"/>
            <w:vAlign w:val="center"/>
          </w:tcPr>
          <w:p w14:paraId="64D02824" w14:textId="77777777" w:rsidR="00CB2EE2" w:rsidRDefault="00CB2EE2" w:rsidP="00543A53">
            <w:pPr>
              <w:pStyle w:val="NoSpacing"/>
              <w:rPr>
                <w:rFonts w:cs="Times New Roman"/>
                <w:b/>
                <w:bCs/>
              </w:rPr>
            </w:pPr>
          </w:p>
        </w:tc>
        <w:tc>
          <w:tcPr>
            <w:tcW w:w="3449" w:type="dxa"/>
            <w:vAlign w:val="center"/>
          </w:tcPr>
          <w:p w14:paraId="20A0D4B5" w14:textId="419405DD" w:rsidR="00CB2EE2" w:rsidRDefault="00CB2EE2" w:rsidP="00543A53">
            <w:pPr>
              <w:pStyle w:val="NoSpacing"/>
              <w:rPr>
                <w:rFonts w:cs="Times New Roman"/>
                <w:b/>
                <w:bCs/>
              </w:rPr>
            </w:pPr>
            <w:r w:rsidRPr="00D4061F">
              <w:rPr>
                <w:rFonts w:cs="Times New Roman"/>
              </w:rPr>
              <w:t>Deviation/full</w:t>
            </w:r>
            <w:r w:rsidR="000F1D16" w:rsidRPr="00D4061F">
              <w:rPr>
                <w:rFonts w:cs="Times New Roman"/>
              </w:rPr>
              <w:t xml:space="preserve"> </w:t>
            </w:r>
            <w:r w:rsidR="000F1D16">
              <w:rPr>
                <w:rFonts w:cs="Times New Roman"/>
              </w:rPr>
              <w:t>data range</w:t>
            </w:r>
          </w:p>
        </w:tc>
        <w:tc>
          <w:tcPr>
            <w:tcW w:w="2785" w:type="dxa"/>
            <w:vAlign w:val="center"/>
          </w:tcPr>
          <w:p w14:paraId="550CDF3F" w14:textId="77777777" w:rsidR="00CB2EE2" w:rsidRPr="003837B0" w:rsidRDefault="00CB2EE2" w:rsidP="00543A53">
            <w:pPr>
              <w:pStyle w:val="NoSpacing"/>
              <w:rPr>
                <w:rFonts w:cs="Times New Roman"/>
              </w:rPr>
            </w:pPr>
            <w:r w:rsidRPr="003837B0">
              <w:rPr>
                <w:rFonts w:cs="Times New Roman"/>
              </w:rPr>
              <w:t>0.089 %</w:t>
            </w:r>
          </w:p>
        </w:tc>
      </w:tr>
      <w:tr w:rsidR="00CB2EE2" w14:paraId="1029617D" w14:textId="77777777" w:rsidTr="00CD4AEB">
        <w:trPr>
          <w:trHeight w:hRule="exact" w:val="432"/>
        </w:trPr>
        <w:tc>
          <w:tcPr>
            <w:tcW w:w="3116" w:type="dxa"/>
            <w:vAlign w:val="center"/>
          </w:tcPr>
          <w:p w14:paraId="6B435B7F" w14:textId="77777777" w:rsidR="00CB2EE2" w:rsidRPr="00FE134F" w:rsidRDefault="00CB2EE2" w:rsidP="00543A53">
            <w:pPr>
              <w:pStyle w:val="NoSpacing"/>
              <w:rPr>
                <w:rFonts w:cs="Times New Roman"/>
                <w:b/>
                <w:bCs/>
              </w:rPr>
            </w:pPr>
            <w:r>
              <w:rPr>
                <w:rFonts w:cs="Times New Roman"/>
                <w:b/>
                <w:bCs/>
              </w:rPr>
              <w:t xml:space="preserve">Ratio </w:t>
            </w:r>
            <w:proofErr w:type="gramStart"/>
            <w:r>
              <w:rPr>
                <w:rFonts w:cs="Times New Roman"/>
                <w:b/>
                <w:bCs/>
              </w:rPr>
              <w:t xml:space="preserve">of  </w:t>
            </w:r>
            <w:proofErr w:type="spellStart"/>
            <w:r>
              <w:rPr>
                <w:rFonts w:cs="Times New Roman"/>
                <w:b/>
                <w:bCs/>
                <w:i/>
                <w:iCs/>
              </w:rPr>
              <w:t>n</w:t>
            </w:r>
            <w:r w:rsidRPr="00FE134F">
              <w:rPr>
                <w:rFonts w:cs="Times New Roman"/>
                <w:b/>
                <w:bCs/>
                <w:vertAlign w:val="subscript"/>
              </w:rPr>
              <w:t>BET</w:t>
            </w:r>
            <w:proofErr w:type="spellEnd"/>
            <w:proofErr w:type="gramEnd"/>
            <w:r>
              <w:rPr>
                <w:rFonts w:cs="Times New Roman"/>
                <w:b/>
                <w:bCs/>
              </w:rPr>
              <w:t>/</w:t>
            </w:r>
            <w:proofErr w:type="spellStart"/>
            <w:r>
              <w:rPr>
                <w:rFonts w:cs="Times New Roman"/>
                <w:b/>
                <w:bCs/>
                <w:i/>
                <w:iCs/>
              </w:rPr>
              <w:t>n</w:t>
            </w:r>
            <w:r w:rsidRPr="00FE134F">
              <w:rPr>
                <w:rFonts w:cs="Times New Roman"/>
                <w:b/>
                <w:bCs/>
                <w:vertAlign w:val="subscript"/>
              </w:rPr>
              <w:t>QM</w:t>
            </w:r>
            <w:proofErr w:type="spellEnd"/>
          </w:p>
        </w:tc>
        <w:tc>
          <w:tcPr>
            <w:tcW w:w="3449" w:type="dxa"/>
            <w:vAlign w:val="center"/>
          </w:tcPr>
          <w:p w14:paraId="121A0D74" w14:textId="77777777" w:rsidR="00CB2EE2" w:rsidRDefault="00CB2EE2" w:rsidP="00543A53">
            <w:pPr>
              <w:pStyle w:val="NoSpacing"/>
              <w:rPr>
                <w:rFonts w:cs="Times New Roman"/>
                <w:b/>
                <w:bCs/>
              </w:rPr>
            </w:pPr>
          </w:p>
        </w:tc>
        <w:tc>
          <w:tcPr>
            <w:tcW w:w="2785" w:type="dxa"/>
            <w:vAlign w:val="center"/>
          </w:tcPr>
          <w:p w14:paraId="0C82C76D" w14:textId="77777777" w:rsidR="00CB2EE2" w:rsidRPr="00BB39E4" w:rsidRDefault="00CB2EE2" w:rsidP="00543A53">
            <w:pPr>
              <w:pStyle w:val="NoSpacing"/>
              <w:rPr>
                <w:rFonts w:cs="Times New Roman"/>
              </w:rPr>
            </w:pPr>
            <w:r w:rsidRPr="00BB39E4">
              <w:rPr>
                <w:rFonts w:cs="Times New Roman"/>
              </w:rPr>
              <w:t>1.69</w:t>
            </w:r>
          </w:p>
        </w:tc>
      </w:tr>
    </w:tbl>
    <w:p w14:paraId="1E8DB76D" w14:textId="77777777" w:rsidR="006A39FD" w:rsidRDefault="006A39FD" w:rsidP="00543A53">
      <w:pPr>
        <w:pStyle w:val="NoSpacing"/>
        <w:rPr>
          <w:iCs/>
        </w:rPr>
      </w:pPr>
    </w:p>
    <w:p w14:paraId="32D97190" w14:textId="77777777" w:rsidR="00167FBA" w:rsidRDefault="00167FBA" w:rsidP="00167FBA">
      <w:pPr>
        <w:pStyle w:val="NoSpacing"/>
        <w:rPr>
          <w:rFonts w:cs="Times New Roman"/>
        </w:rPr>
      </w:pPr>
      <w:r>
        <w:rPr>
          <w:rFonts w:cs="Times New Roman"/>
        </w:rPr>
        <w:t>The output parameters for both the QM</w:t>
      </w:r>
      <w:r>
        <w:rPr>
          <w:iCs/>
        </w:rPr>
        <w:t>/ESW</w:t>
      </w:r>
      <w:r>
        <w:rPr>
          <w:rFonts w:cs="Times New Roman"/>
        </w:rPr>
        <w:t xml:space="preserve"> model and the BET model are given in </w:t>
      </w:r>
      <w:r>
        <w:rPr>
          <w:rFonts w:cs="Times New Roman"/>
          <w:b/>
          <w:bCs/>
        </w:rPr>
        <w:t xml:space="preserve">Table 1. </w:t>
      </w:r>
      <w:r w:rsidRPr="00503D57">
        <w:rPr>
          <w:rFonts w:cs="Times New Roman"/>
        </w:rPr>
        <w:t xml:space="preserve"> The </w:t>
      </w:r>
      <w:r w:rsidRPr="000F1D16">
        <w:rPr>
          <w:rFonts w:cs="Times New Roman"/>
          <w:i/>
          <w:iCs/>
        </w:rPr>
        <w:t>C</w:t>
      </w:r>
      <w:r>
        <w:rPr>
          <w:rFonts w:cs="Times New Roman"/>
        </w:rPr>
        <w:t xml:space="preserve"> in terms of units is problematic.  However, it would officially be unitless.</w:t>
      </w:r>
    </w:p>
    <w:p w14:paraId="3DC2A139" w14:textId="0F8816A3" w:rsidR="006A39FD" w:rsidRPr="00680218" w:rsidRDefault="00C45EAD" w:rsidP="00543A53">
      <w:pPr>
        <w:pStyle w:val="NoSpacing"/>
        <w:rPr>
          <w:rFonts w:cs="Times New Roman"/>
        </w:rPr>
      </w:pPr>
      <w:r>
        <w:rPr>
          <w:rFonts w:cs="Times New Roman"/>
          <w:b/>
          <w:bCs/>
        </w:rPr>
        <w:lastRenderedPageBreak/>
        <w:t>In Table I, values in bold type are output parameters from the calculation</w:t>
      </w:r>
      <w:r w:rsidR="003C3C2D">
        <w:rPr>
          <w:rFonts w:cs="Times New Roman"/>
          <w:b/>
          <w:bCs/>
        </w:rPr>
        <w:t>;</w:t>
      </w:r>
      <w:r>
        <w:rPr>
          <w:rFonts w:cs="Times New Roman"/>
          <w:b/>
          <w:bCs/>
        </w:rPr>
        <w:t xml:space="preserve"> </w:t>
      </w:r>
      <w:r w:rsidR="00DD1C47">
        <w:rPr>
          <w:rFonts w:cs="Times New Roman"/>
        </w:rPr>
        <w:t>whereas</w:t>
      </w:r>
      <w:r>
        <w:rPr>
          <w:rFonts w:cs="Times New Roman"/>
        </w:rPr>
        <w:t xml:space="preserve"> values in non-bold are quantities derived from these parameters.</w:t>
      </w:r>
      <w:r>
        <w:rPr>
          <w:iCs/>
        </w:rPr>
        <w:t xml:space="preserve"> </w:t>
      </w:r>
      <w:r w:rsidR="006A39FD">
        <w:rPr>
          <w:rFonts w:cs="Times New Roman"/>
        </w:rPr>
        <w:t xml:space="preserve">The stated IUPAC convention is the conversion of </w:t>
      </w:r>
      <w:r w:rsidR="006A39FD">
        <w:rPr>
          <w:rFonts w:cs="Times New Roman"/>
          <w:i/>
          <w:iCs/>
        </w:rPr>
        <w:t>n</w:t>
      </w:r>
      <w:r w:rsidR="006A39FD" w:rsidRPr="00750202">
        <w:rPr>
          <w:rFonts w:cs="Times New Roman"/>
          <w:vertAlign w:val="subscript"/>
        </w:rPr>
        <w:t>m</w:t>
      </w:r>
      <w:r w:rsidR="006A39FD">
        <w:rPr>
          <w:rFonts w:cs="Times New Roman"/>
        </w:rPr>
        <w:t xml:space="preserve"> to surface area, </w:t>
      </w:r>
      <w:r w:rsidR="006A39FD">
        <w:rPr>
          <w:rFonts w:cs="Times New Roman"/>
          <w:i/>
          <w:iCs/>
        </w:rPr>
        <w:t>A</w:t>
      </w:r>
      <w:r w:rsidR="006A39FD">
        <w:rPr>
          <w:rFonts w:cs="Times New Roman"/>
        </w:rPr>
        <w:t xml:space="preserve">. </w:t>
      </w:r>
      <w:r>
        <w:rPr>
          <w:rFonts w:cs="Times New Roman"/>
        </w:rPr>
        <w:t>The conversion for</w:t>
      </w:r>
      <w:r w:rsidR="006A39FD">
        <w:rPr>
          <w:rFonts w:cs="Times New Roman"/>
        </w:rPr>
        <w:t xml:space="preserve"> nitrogen this is 0.162</w:t>
      </w:r>
      <w:r w:rsidR="006A39FD">
        <w:t> </w:t>
      </w:r>
      <w:r w:rsidR="006A39FD">
        <w:rPr>
          <w:rFonts w:cs="Times New Roman"/>
        </w:rPr>
        <w:t>n</w:t>
      </w:r>
      <w:r w:rsidR="00DD35C8">
        <w:rPr>
          <w:rFonts w:cs="Times New Roman"/>
        </w:rPr>
        <w:t>m</w:t>
      </w:r>
      <w:r w:rsidR="006A39FD" w:rsidRPr="00750202">
        <w:rPr>
          <w:rFonts w:cs="Times New Roman"/>
          <w:vertAlign w:val="superscript"/>
        </w:rPr>
        <w:t>2</w:t>
      </w:r>
      <w:r w:rsidR="006A39FD">
        <w:rPr>
          <w:rFonts w:cs="Times New Roman"/>
        </w:rPr>
        <w:t xml:space="preserve"> molecule</w:t>
      </w:r>
      <w:r w:rsidR="006A39FD" w:rsidRPr="00750202">
        <w:rPr>
          <w:rFonts w:cs="Times New Roman"/>
          <w:vertAlign w:val="superscript"/>
        </w:rPr>
        <w:t>-1</w:t>
      </w:r>
      <w:r w:rsidR="006A39FD">
        <w:rPr>
          <w:rFonts w:cs="Times New Roman"/>
        </w:rPr>
        <w:t xml:space="preserve"> or 9.77</w:t>
      </w:r>
      <w:r>
        <w:rPr>
          <w:rFonts w:cs="Times New Roman"/>
        </w:rPr>
        <w:t> </w:t>
      </w:r>
      <w:r w:rsidR="006A39FD">
        <w:rPr>
          <w:rFonts w:cs="Times New Roman"/>
        </w:rPr>
        <w:t>×</w:t>
      </w:r>
      <w:r>
        <w:rPr>
          <w:rFonts w:cs="Times New Roman"/>
        </w:rPr>
        <w:t> </w:t>
      </w:r>
      <w:r w:rsidR="006A39FD">
        <w:rPr>
          <w:rFonts w:cs="Times New Roman"/>
        </w:rPr>
        <w:t>10</w:t>
      </w:r>
      <w:r w:rsidR="006A39FD" w:rsidRPr="00750202">
        <w:rPr>
          <w:rFonts w:cs="Times New Roman"/>
          <w:vertAlign w:val="superscript"/>
        </w:rPr>
        <w:t>4</w:t>
      </w:r>
      <w:r>
        <w:rPr>
          <w:rFonts w:cs="Times New Roman"/>
          <w:vertAlign w:val="superscript"/>
        </w:rPr>
        <w:t> </w:t>
      </w:r>
      <w:r w:rsidR="006A39FD">
        <w:rPr>
          <w:rFonts w:cs="Times New Roman"/>
        </w:rPr>
        <w:t>m</w:t>
      </w:r>
      <w:r w:rsidR="006A39FD" w:rsidRPr="00750202">
        <w:rPr>
          <w:rFonts w:cs="Times New Roman"/>
          <w:vertAlign w:val="superscript"/>
        </w:rPr>
        <w:t>2</w:t>
      </w:r>
      <w:r>
        <w:rPr>
          <w:rFonts w:cs="Times New Roman"/>
        </w:rPr>
        <w:t> </w:t>
      </w:r>
      <w:r w:rsidR="006A39FD">
        <w:rPr>
          <w:rFonts w:cs="Times New Roman"/>
        </w:rPr>
        <w:t>mol</w:t>
      </w:r>
      <w:r w:rsidR="00CD63CE">
        <w:rPr>
          <w:rFonts w:cs="Times New Roman"/>
          <w:vertAlign w:val="superscript"/>
        </w:rPr>
        <w:t>-</w:t>
      </w:r>
      <w:r w:rsidR="006A39FD" w:rsidRPr="00750202">
        <w:rPr>
          <w:rFonts w:cs="Times New Roman"/>
          <w:vertAlign w:val="superscript"/>
        </w:rPr>
        <w:t>1</w:t>
      </w:r>
      <w:r>
        <w:rPr>
          <w:rFonts w:cs="Times New Roman"/>
          <w:vertAlign w:val="subscript"/>
        </w:rPr>
        <w:t>.</w:t>
      </w:r>
    </w:p>
    <w:p w14:paraId="6EAFCC44" w14:textId="77777777" w:rsidR="00C45EAD" w:rsidRPr="00680218" w:rsidRDefault="00C45EAD" w:rsidP="00543A53">
      <w:pPr>
        <w:pStyle w:val="NoSpacing"/>
        <w:rPr>
          <w:rFonts w:cs="Times New Roman"/>
        </w:rPr>
      </w:pPr>
    </w:p>
    <w:p w14:paraId="693C2E42" w14:textId="2F5BBC92" w:rsidR="006A39FD" w:rsidRDefault="006A39FD" w:rsidP="00543A53">
      <w:pPr>
        <w:pStyle w:val="NoSpacing"/>
        <w:rPr>
          <w:rFonts w:cs="Times New Roman"/>
        </w:rPr>
      </w:pPr>
      <w:r>
        <w:rPr>
          <w:rFonts w:cs="Times New Roman"/>
        </w:rPr>
        <w:t xml:space="preserve">The </w:t>
      </w:r>
      <w:r w:rsidR="00680218">
        <w:rPr>
          <w:rFonts w:cs="Times New Roman"/>
        </w:rPr>
        <w:t>elimination of the temperature parameter</w:t>
      </w:r>
      <w:r>
        <w:rPr>
          <w:rFonts w:cs="Times New Roman"/>
        </w:rPr>
        <w:t xml:space="preserve"> for the QM</w:t>
      </w:r>
      <w:r w:rsidR="00167FBA">
        <w:rPr>
          <w:rFonts w:cs="Times New Roman"/>
        </w:rPr>
        <w:t>/ESW</w:t>
      </w:r>
      <w:r>
        <w:rPr>
          <w:rFonts w:cs="Times New Roman"/>
        </w:rPr>
        <w:t xml:space="preserve"> calculations make</w:t>
      </w:r>
      <w:r w:rsidR="00C45EAD">
        <w:rPr>
          <w:rFonts w:cs="Times New Roman"/>
        </w:rPr>
        <w:t>s</w:t>
      </w:r>
      <w:r>
        <w:rPr>
          <w:rFonts w:cs="Times New Roman"/>
        </w:rPr>
        <w:t xml:space="preserve"> </w:t>
      </w:r>
      <w:r w:rsidR="00680218">
        <w:rPr>
          <w:rFonts w:cs="Times New Roman"/>
        </w:rPr>
        <w:t xml:space="preserve">no significant </w:t>
      </w:r>
      <w:r>
        <w:rPr>
          <w:rFonts w:cs="Times New Roman"/>
        </w:rPr>
        <w:t xml:space="preserve">difference in the output parameters.  </w:t>
      </w:r>
      <w:r w:rsidR="00680218">
        <w:rPr>
          <w:rFonts w:cs="Times New Roman"/>
        </w:rPr>
        <w:t>This is encouraging that a temperature difference of</w:t>
      </w:r>
      <w:r w:rsidR="00B36A84">
        <w:rPr>
          <w:rFonts w:cs="Times New Roman"/>
        </w:rPr>
        <w:t xml:space="preserve"> about</w:t>
      </w:r>
      <w:r w:rsidR="00680218">
        <w:rPr>
          <w:rFonts w:cs="Times New Roman"/>
        </w:rPr>
        <w:t xml:space="preserve"> 0.01 K at 78K makes little practical difference.  </w:t>
      </w:r>
      <w:r>
        <w:rPr>
          <w:rFonts w:cs="Times New Roman"/>
        </w:rPr>
        <w:t xml:space="preserve">It does, however, </w:t>
      </w:r>
      <w:r w:rsidR="00D72040">
        <w:rPr>
          <w:rFonts w:cs="Times New Roman"/>
        </w:rPr>
        <w:t xml:space="preserve">increase </w:t>
      </w:r>
      <w:r>
        <w:rPr>
          <w:rFonts w:cs="Times New Roman"/>
        </w:rPr>
        <w:t xml:space="preserve">the standard deviation of the fit by nearly a factor of </w:t>
      </w:r>
      <w:r w:rsidR="00680218">
        <w:rPr>
          <w:rFonts w:cs="Times New Roman"/>
        </w:rPr>
        <w:t>~</w:t>
      </w:r>
      <w:r w:rsidR="00531C59">
        <w:rPr>
          <w:rFonts w:cs="Times New Roman"/>
        </w:rPr>
        <w:t>15</w:t>
      </w:r>
      <w:r>
        <w:rPr>
          <w:rFonts w:cs="Times New Roman"/>
        </w:rPr>
        <w:t>.</w:t>
      </w:r>
    </w:p>
    <w:p w14:paraId="05F85D71" w14:textId="77777777" w:rsidR="00345EE2" w:rsidRDefault="00345EE2" w:rsidP="00543A53">
      <w:pPr>
        <w:pStyle w:val="NoSpacing"/>
        <w:rPr>
          <w:rFonts w:cs="Times New Roman"/>
        </w:rPr>
      </w:pPr>
    </w:p>
    <w:p w14:paraId="73338503" w14:textId="2D7A67E4" w:rsidR="002B7062" w:rsidRPr="002B7062" w:rsidRDefault="002B7062" w:rsidP="002B7062">
      <w:pPr>
        <w:pStyle w:val="NoSpacing"/>
        <w:outlineLvl w:val="1"/>
        <w:rPr>
          <w:rFonts w:cs="Times New Roman"/>
          <w:i/>
          <w:iCs/>
        </w:rPr>
      </w:pPr>
      <w:bookmarkStart w:id="35" w:name="_Toc171582134"/>
      <w:r w:rsidRPr="002B7062">
        <w:rPr>
          <w:rFonts w:cs="Times New Roman"/>
          <w:i/>
          <w:iCs/>
        </w:rPr>
        <w:t>Conclusions concerning statistical comparison</w:t>
      </w:r>
      <w:bookmarkEnd w:id="35"/>
    </w:p>
    <w:p w14:paraId="554DBA25" w14:textId="77777777" w:rsidR="002B7062" w:rsidRDefault="002B7062" w:rsidP="00543A53">
      <w:pPr>
        <w:pStyle w:val="NoSpacing"/>
        <w:rPr>
          <w:rFonts w:cs="Times New Roman"/>
        </w:rPr>
      </w:pPr>
    </w:p>
    <w:p w14:paraId="44C786FF" w14:textId="4B3D9748" w:rsidR="00DD35C8" w:rsidRDefault="00DD35C8" w:rsidP="00543A53">
      <w:pPr>
        <w:pStyle w:val="NoSpacing"/>
        <w:rPr>
          <w:rFonts w:cs="Times New Roman"/>
        </w:rPr>
      </w:pPr>
      <w:r>
        <w:rPr>
          <w:rFonts w:cs="Times New Roman"/>
        </w:rPr>
        <w:t xml:space="preserve">In comparing the standard </w:t>
      </w:r>
      <w:r w:rsidR="004C2597">
        <w:rPr>
          <w:rFonts w:cs="Times New Roman"/>
        </w:rPr>
        <w:t>deviations,</w:t>
      </w:r>
      <w:r>
        <w:rPr>
          <w:rFonts w:cs="Times New Roman"/>
        </w:rPr>
        <w:t xml:space="preserve"> </w:t>
      </w:r>
      <w:r w:rsidR="00B36A84">
        <w:rPr>
          <w:rFonts w:cs="Times New Roman"/>
        </w:rPr>
        <w:t>clearly</w:t>
      </w:r>
      <w:r>
        <w:rPr>
          <w:rFonts w:cs="Times New Roman"/>
        </w:rPr>
        <w:t xml:space="preserve"> the QM</w:t>
      </w:r>
      <w:r w:rsidR="00167FBA">
        <w:rPr>
          <w:rFonts w:cs="Times New Roman"/>
        </w:rPr>
        <w:t>/ESW</w:t>
      </w:r>
      <w:r>
        <w:rPr>
          <w:rFonts w:cs="Times New Roman"/>
        </w:rPr>
        <w:t xml:space="preserve"> calculation is far superior to the BET (even discounting the high</w:t>
      </w:r>
      <w:r w:rsidR="00680218">
        <w:rPr>
          <w:rFonts w:cs="Times New Roman"/>
        </w:rPr>
        <w:t>-</w:t>
      </w:r>
      <w:r>
        <w:rPr>
          <w:rFonts w:cs="Times New Roman"/>
        </w:rPr>
        <w:t>pressure</w:t>
      </w:r>
      <w:r w:rsidR="00CD63CE">
        <w:rPr>
          <w:rFonts w:cs="Times New Roman"/>
        </w:rPr>
        <w:t xml:space="preserve"> and low-pressure</w:t>
      </w:r>
      <w:r>
        <w:rPr>
          <w:rFonts w:cs="Times New Roman"/>
        </w:rPr>
        <w:t xml:space="preserve"> data</w:t>
      </w:r>
      <w:r w:rsidR="00910215">
        <w:rPr>
          <w:rFonts w:cs="Times New Roman"/>
        </w:rPr>
        <w:t xml:space="preserve"> for the BET</w:t>
      </w:r>
      <w:r>
        <w:rPr>
          <w:rFonts w:cs="Times New Roman"/>
        </w:rPr>
        <w:t xml:space="preserve">) by a factor </w:t>
      </w:r>
      <w:proofErr w:type="gramStart"/>
      <w:r>
        <w:rPr>
          <w:rFonts w:cs="Times New Roman"/>
        </w:rPr>
        <w:t xml:space="preserve">of </w:t>
      </w:r>
      <w:r w:rsidR="00910215">
        <w:rPr>
          <w:rFonts w:cs="Times New Roman"/>
        </w:rPr>
        <w:t xml:space="preserve"> &gt;</w:t>
      </w:r>
      <w:proofErr w:type="gramEnd"/>
      <w:r>
        <w:rPr>
          <w:rFonts w:cs="Times New Roman"/>
        </w:rPr>
        <w:t>30</w:t>
      </w:r>
      <w:r w:rsidR="004C2597">
        <w:rPr>
          <w:rFonts w:cs="Times New Roman"/>
        </w:rPr>
        <w:t xml:space="preserve"> for 88 degrees of freedom</w:t>
      </w:r>
      <w:r>
        <w:rPr>
          <w:rFonts w:cs="Times New Roman"/>
        </w:rPr>
        <w:t xml:space="preserve">.  </w:t>
      </w:r>
      <w:r w:rsidR="004C2597">
        <w:rPr>
          <w:rFonts w:cs="Times New Roman"/>
        </w:rPr>
        <w:t>By any statistical test, this is off the charts.</w:t>
      </w:r>
      <w:r w:rsidR="00052B53">
        <w:rPr>
          <w:rFonts w:cs="Times New Roman"/>
        </w:rPr>
        <w:t xml:space="preserve">  A</w:t>
      </w:r>
      <w:r w:rsidR="00910215">
        <w:rPr>
          <w:rFonts w:cs="Times New Roman"/>
        </w:rPr>
        <w:t>lso, a</w:t>
      </w:r>
      <w:r w:rsidR="00052B53">
        <w:rPr>
          <w:rFonts w:cs="Times New Roman"/>
        </w:rPr>
        <w:t xml:space="preserve"> full isotherm is basically impossible for the BET.</w:t>
      </w:r>
    </w:p>
    <w:p w14:paraId="148E7394" w14:textId="77777777" w:rsidR="007D4CFE" w:rsidRDefault="007D4CFE" w:rsidP="00543A53">
      <w:pPr>
        <w:pStyle w:val="NoSpacing"/>
        <w:rPr>
          <w:rFonts w:cs="Times New Roman"/>
        </w:rPr>
      </w:pPr>
    </w:p>
    <w:p w14:paraId="3592C97E" w14:textId="68532058" w:rsidR="00D72B8C" w:rsidRDefault="004C2597" w:rsidP="00543A53">
      <w:pPr>
        <w:pStyle w:val="NoSpacing"/>
        <w:rPr>
          <w:rFonts w:cs="Times New Roman"/>
          <w:iCs/>
        </w:rPr>
      </w:pPr>
      <w:r>
        <w:rPr>
          <w:iCs/>
        </w:rPr>
        <w:t>Thus,</w:t>
      </w:r>
      <w:r w:rsidR="00797CA8">
        <w:rPr>
          <w:iCs/>
        </w:rPr>
        <w:t xml:space="preserve"> </w:t>
      </w:r>
      <w:r>
        <w:rPr>
          <w:iCs/>
        </w:rPr>
        <w:t>i</w:t>
      </w:r>
      <w:r w:rsidR="002B3876">
        <w:rPr>
          <w:iCs/>
        </w:rPr>
        <w:t>n a practical application, there is no question that the BET yields poor information.  Of course</w:t>
      </w:r>
      <w:r w:rsidR="00C45EAD">
        <w:rPr>
          <w:iCs/>
        </w:rPr>
        <w:t>,</w:t>
      </w:r>
      <w:r w:rsidR="002B3876">
        <w:rPr>
          <w:iCs/>
        </w:rPr>
        <w:t xml:space="preserve"> it is </w:t>
      </w:r>
      <w:r w:rsidR="00C45EAD">
        <w:rPr>
          <w:iCs/>
        </w:rPr>
        <w:t>with</w:t>
      </w:r>
      <w:r w:rsidR="002B3876">
        <w:rPr>
          <w:iCs/>
        </w:rPr>
        <w:t xml:space="preserve">in </w:t>
      </w:r>
      <w:r w:rsidR="00C45EAD">
        <w:rPr>
          <w:iCs/>
        </w:rPr>
        <w:t xml:space="preserve">a factor of </w:t>
      </w:r>
      <w:r w:rsidR="00D72040">
        <w:rPr>
          <w:rFonts w:cs="Times New Roman"/>
          <w:iCs/>
        </w:rPr>
        <w:t>±</w:t>
      </w:r>
      <w:r w:rsidR="00D72040">
        <w:rPr>
          <w:iCs/>
        </w:rPr>
        <w:t xml:space="preserve">3 </w:t>
      </w:r>
      <w:r w:rsidR="002B3876">
        <w:rPr>
          <w:iCs/>
        </w:rPr>
        <w:t xml:space="preserve">of the answer, but the old </w:t>
      </w:r>
      <w:r w:rsidR="00797CA8" w:rsidRPr="00797CA8">
        <w:rPr>
          <w:rFonts w:cs="Times New Roman"/>
        </w:rPr>
        <w:t>“B” point</w:t>
      </w:r>
      <w:r w:rsidR="00797CA8" w:rsidRPr="00797CA8">
        <w:rPr>
          <w:rStyle w:val="EndnoteReference"/>
          <w:rFonts w:cs="Times New Roman"/>
        </w:rPr>
        <w:endnoteReference w:id="33"/>
      </w:r>
      <w:r w:rsidR="00797CA8" w:rsidRPr="00797CA8">
        <w:rPr>
          <w:rFonts w:cs="Times New Roman"/>
        </w:rPr>
        <w:t xml:space="preserve"> </w:t>
      </w:r>
      <w:r w:rsidR="002B3876">
        <w:rPr>
          <w:iCs/>
        </w:rPr>
        <w:t xml:space="preserve">method was </w:t>
      </w:r>
      <w:r w:rsidR="00C45EAD">
        <w:rPr>
          <w:iCs/>
        </w:rPr>
        <w:t>as good.</w:t>
      </w:r>
      <w:r w:rsidR="00797CA8">
        <w:rPr>
          <w:iCs/>
        </w:rPr>
        <w:t xml:space="preserve"> </w:t>
      </w:r>
      <w:r w:rsidR="00C45EAD">
        <w:rPr>
          <w:iCs/>
        </w:rPr>
        <w:t xml:space="preserve"> </w:t>
      </w:r>
      <w:r w:rsidR="002B3876">
        <w:rPr>
          <w:iCs/>
        </w:rPr>
        <w:t>As a fact, on</w:t>
      </w:r>
      <w:r w:rsidR="00C45EAD">
        <w:rPr>
          <w:iCs/>
        </w:rPr>
        <w:t>e</w:t>
      </w:r>
      <w:r w:rsidR="002B3876">
        <w:rPr>
          <w:iCs/>
        </w:rPr>
        <w:t xml:space="preserve"> could use the inflection point and get an approximate answer</w:t>
      </w:r>
      <w:r w:rsidR="00EF10AA">
        <w:rPr>
          <w:iCs/>
        </w:rPr>
        <w:t xml:space="preserve"> which is usually high but within a</w:t>
      </w:r>
      <w:r w:rsidR="00D11E5B">
        <w:rPr>
          <w:iCs/>
        </w:rPr>
        <w:t>n</w:t>
      </w:r>
      <w:r w:rsidR="00EF10AA">
        <w:rPr>
          <w:iCs/>
        </w:rPr>
        <w:t xml:space="preserve"> order of magnitude. </w:t>
      </w:r>
      <w:r w:rsidR="00D72040">
        <w:rPr>
          <w:iCs/>
        </w:rPr>
        <w:t>(</w:t>
      </w:r>
      <w:r w:rsidR="00EF10AA">
        <w:rPr>
          <w:iCs/>
        </w:rPr>
        <w:t xml:space="preserve">The quickest way is to get an approximate answer is to do a </w:t>
      </w:r>
      <w:r w:rsidR="00EF10AA">
        <w:rPr>
          <w:rFonts w:cs="Times New Roman"/>
          <w:iCs/>
        </w:rPr>
        <w:t>Δχ-</w:t>
      </w:r>
      <w:r w:rsidR="00EF10AA">
        <w:rPr>
          <w:iCs/>
        </w:rPr>
        <w:t xml:space="preserve">plot and take the value at </w:t>
      </w:r>
      <w:r w:rsidR="00EF10AA">
        <w:rPr>
          <w:rFonts w:cs="Times New Roman"/>
          <w:iCs/>
        </w:rPr>
        <w:t>Δχ</w:t>
      </w:r>
      <w:r w:rsidR="00D11E5B">
        <w:rPr>
          <w:rFonts w:cs="Times New Roman"/>
          <w:iCs/>
        </w:rPr>
        <w:t xml:space="preserve"> </w:t>
      </w:r>
      <w:r w:rsidR="00EF10AA">
        <w:rPr>
          <w:rFonts w:cs="Times New Roman"/>
          <w:iCs/>
        </w:rPr>
        <w:t>=</w:t>
      </w:r>
      <w:r w:rsidR="00D11E5B">
        <w:rPr>
          <w:rFonts w:cs="Times New Roman"/>
          <w:iCs/>
        </w:rPr>
        <w:t xml:space="preserve"> </w:t>
      </w:r>
      <w:r w:rsidR="00EF10AA">
        <w:rPr>
          <w:rFonts w:cs="Times New Roman"/>
          <w:iCs/>
        </w:rPr>
        <w:t>1.</w:t>
      </w:r>
      <w:r w:rsidR="00102279">
        <w:rPr>
          <w:rFonts w:cs="Times New Roman"/>
          <w:iCs/>
        </w:rPr>
        <w:t xml:space="preserve">  </w:t>
      </w:r>
      <w:r w:rsidR="004A2B35">
        <w:rPr>
          <w:rFonts w:cs="Times New Roman"/>
          <w:iCs/>
        </w:rPr>
        <w:t>For accuracy</w:t>
      </w:r>
      <w:r w:rsidR="00102279">
        <w:rPr>
          <w:rFonts w:cs="Times New Roman"/>
          <w:iCs/>
        </w:rPr>
        <w:t xml:space="preserve"> measurements to </w:t>
      </w:r>
      <w:r w:rsidR="00102279">
        <w:rPr>
          <w:rFonts w:cs="Times New Roman"/>
          <w:i/>
        </w:rPr>
        <w:t>n</w:t>
      </w:r>
      <w:r w:rsidR="00102279">
        <w:rPr>
          <w:rFonts w:cs="Times New Roman"/>
          <w:iCs/>
          <w:vertAlign w:val="subscript"/>
        </w:rPr>
        <w:t>a</w:t>
      </w:r>
      <w:r w:rsidR="00102279">
        <w:rPr>
          <w:rFonts w:cs="Times New Roman"/>
          <w:iCs/>
        </w:rPr>
        <w:t xml:space="preserve"> = 0 to check for microporosity</w:t>
      </w:r>
      <w:r w:rsidR="004A2B35">
        <w:rPr>
          <w:rFonts w:cs="Times New Roman"/>
          <w:iCs/>
        </w:rPr>
        <w:t xml:space="preserve"> is needed</w:t>
      </w:r>
      <w:r w:rsidR="00102279">
        <w:rPr>
          <w:rFonts w:cs="Times New Roman"/>
          <w:iCs/>
        </w:rPr>
        <w:t>.</w:t>
      </w:r>
      <w:r w:rsidR="00D72040">
        <w:rPr>
          <w:rFonts w:cs="Times New Roman"/>
          <w:iCs/>
        </w:rPr>
        <w:t>)</w:t>
      </w:r>
    </w:p>
    <w:p w14:paraId="5B48ACFB" w14:textId="77777777" w:rsidR="00EF10AA" w:rsidRDefault="00EF10AA" w:rsidP="00543A53">
      <w:pPr>
        <w:pStyle w:val="NoSpacing"/>
        <w:rPr>
          <w:rFonts w:cs="Times New Roman"/>
          <w:iCs/>
        </w:rPr>
      </w:pPr>
    </w:p>
    <w:p w14:paraId="223A51CB" w14:textId="4DE4211D" w:rsidR="004C2597" w:rsidRPr="00127E8D" w:rsidRDefault="00D72040" w:rsidP="00543A53">
      <w:pPr>
        <w:pStyle w:val="NoSpacing"/>
        <w:rPr>
          <w:rFonts w:cs="Times New Roman"/>
          <w:iCs/>
          <w:color w:val="FF0000"/>
        </w:rPr>
      </w:pPr>
      <w:r w:rsidRPr="00102279">
        <w:rPr>
          <w:rFonts w:cs="Times New Roman"/>
          <w:iCs/>
        </w:rPr>
        <w:t>A</w:t>
      </w:r>
      <w:r w:rsidR="00B36A84" w:rsidRPr="00102279">
        <w:rPr>
          <w:rFonts w:cs="Times New Roman"/>
          <w:iCs/>
        </w:rPr>
        <w:t>n</w:t>
      </w:r>
      <w:r w:rsidRPr="00102279">
        <w:rPr>
          <w:rFonts w:cs="Times New Roman"/>
          <w:iCs/>
        </w:rPr>
        <w:t xml:space="preserve"> anticipate</w:t>
      </w:r>
      <w:r w:rsidR="004C2597" w:rsidRPr="00102279">
        <w:rPr>
          <w:rFonts w:cs="Times New Roman"/>
          <w:iCs/>
        </w:rPr>
        <w:t>d</w:t>
      </w:r>
      <w:r w:rsidRPr="00102279">
        <w:rPr>
          <w:rFonts w:cs="Times New Roman"/>
          <w:iCs/>
        </w:rPr>
        <w:t xml:space="preserve"> </w:t>
      </w:r>
      <w:r w:rsidR="00877F0E" w:rsidRPr="00102279">
        <w:rPr>
          <w:rFonts w:cs="Times New Roman"/>
          <w:iCs/>
        </w:rPr>
        <w:t>accusation</w:t>
      </w:r>
      <w:r w:rsidR="00EF10AA" w:rsidRPr="00102279">
        <w:rPr>
          <w:rFonts w:cs="Times New Roman"/>
          <w:iCs/>
        </w:rPr>
        <w:t xml:space="preserve"> </w:t>
      </w:r>
      <w:r w:rsidR="00877F0E" w:rsidRPr="00102279">
        <w:rPr>
          <w:rFonts w:cs="Times New Roman"/>
          <w:iCs/>
        </w:rPr>
        <w:t>concerning</w:t>
      </w:r>
      <w:r w:rsidR="00797CA8" w:rsidRPr="00102279">
        <w:rPr>
          <w:rFonts w:cs="Times New Roman"/>
          <w:iCs/>
        </w:rPr>
        <w:t xml:space="preserve"> this treatment</w:t>
      </w:r>
      <w:r w:rsidR="00877F0E" w:rsidRPr="00102279">
        <w:rPr>
          <w:rFonts w:cs="Times New Roman"/>
          <w:iCs/>
        </w:rPr>
        <w:t xml:space="preserve"> is,</w:t>
      </w:r>
      <w:r w:rsidRPr="00102279">
        <w:rPr>
          <w:rFonts w:cs="Times New Roman"/>
          <w:iCs/>
        </w:rPr>
        <w:t xml:space="preserve"> </w:t>
      </w:r>
      <w:r w:rsidR="00877F0E" w:rsidRPr="00102279">
        <w:rPr>
          <w:rFonts w:cs="Times New Roman"/>
          <w:iCs/>
        </w:rPr>
        <w:t>“</w:t>
      </w:r>
      <w:r w:rsidR="00EF10AA" w:rsidRPr="00102279">
        <w:rPr>
          <w:rFonts w:cs="Times New Roman"/>
          <w:iCs/>
        </w:rPr>
        <w:t>the Δχ-plot</w:t>
      </w:r>
      <w:r w:rsidR="00877F0E" w:rsidRPr="00102279">
        <w:rPr>
          <w:rFonts w:cs="Times New Roman"/>
          <w:iCs/>
        </w:rPr>
        <w:t xml:space="preserve"> or χ-plot</w:t>
      </w:r>
      <w:r w:rsidR="00EF10AA" w:rsidRPr="00102279">
        <w:rPr>
          <w:rFonts w:cs="Times New Roman"/>
          <w:iCs/>
        </w:rPr>
        <w:t xml:space="preserve"> </w:t>
      </w:r>
      <w:r w:rsidRPr="00102279">
        <w:rPr>
          <w:rFonts w:cs="Times New Roman"/>
          <w:iCs/>
        </w:rPr>
        <w:t>introduce</w:t>
      </w:r>
      <w:r w:rsidR="004C2597" w:rsidRPr="00102279">
        <w:rPr>
          <w:rFonts w:cs="Times New Roman"/>
          <w:iCs/>
        </w:rPr>
        <w:t>s</w:t>
      </w:r>
      <w:r w:rsidRPr="00102279">
        <w:rPr>
          <w:rFonts w:cs="Times New Roman"/>
          <w:iCs/>
        </w:rPr>
        <w:t xml:space="preserve"> a </w:t>
      </w:r>
      <w:r w:rsidR="00877F0E" w:rsidRPr="00102279">
        <w:rPr>
          <w:rFonts w:cs="Times New Roman"/>
          <w:iCs/>
        </w:rPr>
        <w:t xml:space="preserve">transform that </w:t>
      </w:r>
      <w:r w:rsidR="00EF10AA" w:rsidRPr="00102279">
        <w:rPr>
          <w:rFonts w:cs="Times New Roman"/>
          <w:iCs/>
        </w:rPr>
        <w:t>distort</w:t>
      </w:r>
      <w:r w:rsidR="00877F0E" w:rsidRPr="00102279">
        <w:rPr>
          <w:rFonts w:cs="Times New Roman"/>
          <w:iCs/>
        </w:rPr>
        <w:t>s</w:t>
      </w:r>
      <w:r w:rsidR="00EF10AA" w:rsidRPr="00102279">
        <w:rPr>
          <w:rFonts w:cs="Times New Roman"/>
          <w:iCs/>
        </w:rPr>
        <w:t xml:space="preserve"> </w:t>
      </w:r>
      <w:r w:rsidR="00797CA8" w:rsidRPr="00102279">
        <w:rPr>
          <w:rFonts w:cs="Times New Roman"/>
          <w:iCs/>
        </w:rPr>
        <w:t xml:space="preserve">in </w:t>
      </w:r>
      <w:r w:rsidR="00EF10AA" w:rsidRPr="00102279">
        <w:rPr>
          <w:rFonts w:cs="Times New Roman"/>
          <w:iCs/>
        </w:rPr>
        <w:t xml:space="preserve">the picture.  </w:t>
      </w:r>
      <w:r w:rsidR="00877F0E" w:rsidRPr="00102279">
        <w:rPr>
          <w:rFonts w:cs="Times New Roman"/>
          <w:iCs/>
        </w:rPr>
        <w:t xml:space="preserve">This distortion probably favors the analysis of </w:t>
      </w:r>
      <w:r w:rsidR="00E560E3">
        <w:rPr>
          <w:rFonts w:cs="Times New Roman"/>
          <w:iCs/>
        </w:rPr>
        <w:t xml:space="preserve">your </w:t>
      </w:r>
      <w:r w:rsidR="00102279" w:rsidRPr="00102279">
        <w:rPr>
          <w:rFonts w:cs="Times New Roman"/>
          <w:iCs/>
        </w:rPr>
        <w:t>proposed theory</w:t>
      </w:r>
      <w:r w:rsidR="00877F0E" w:rsidRPr="00102279">
        <w:rPr>
          <w:rFonts w:cs="Times New Roman"/>
          <w:iCs/>
        </w:rPr>
        <w:t xml:space="preserve">.”  </w:t>
      </w:r>
      <w:r w:rsidRPr="00102279">
        <w:rPr>
          <w:rFonts w:cs="Times New Roman"/>
          <w:iCs/>
        </w:rPr>
        <w:t>The argument is bogus since for the QM</w:t>
      </w:r>
      <w:r w:rsidR="00167FBA" w:rsidRPr="00102279">
        <w:rPr>
          <w:rFonts w:cs="Times New Roman"/>
        </w:rPr>
        <w:t>/ESW</w:t>
      </w:r>
      <w:r w:rsidR="00797CA8" w:rsidRPr="00102279">
        <w:rPr>
          <w:rFonts w:cs="Times New Roman"/>
          <w:iCs/>
        </w:rPr>
        <w:t xml:space="preserve"> Δχ-plot</w:t>
      </w:r>
      <w:r w:rsidRPr="00102279">
        <w:rPr>
          <w:rFonts w:cs="Times New Roman"/>
          <w:iCs/>
        </w:rPr>
        <w:t xml:space="preserve"> </w:t>
      </w:r>
      <w:r w:rsidR="00E560E3">
        <w:rPr>
          <w:rFonts w:cs="Times New Roman"/>
          <w:iCs/>
        </w:rPr>
        <w:t xml:space="preserve">or </w:t>
      </w:r>
      <w:r w:rsidR="00E560E3" w:rsidRPr="00102279">
        <w:rPr>
          <w:rFonts w:cs="Times New Roman"/>
          <w:iCs/>
        </w:rPr>
        <w:t>χ-plot</w:t>
      </w:r>
      <w:r w:rsidR="00E560E3">
        <w:rPr>
          <w:rFonts w:cs="Times New Roman"/>
          <w:iCs/>
        </w:rPr>
        <w:t xml:space="preserve"> </w:t>
      </w:r>
      <w:r w:rsidR="00EF10AA" w:rsidRPr="00102279">
        <w:rPr>
          <w:rFonts w:cs="Times New Roman"/>
          <w:iCs/>
        </w:rPr>
        <w:t xml:space="preserve">there is </w:t>
      </w:r>
      <w:r w:rsidR="00DD1C47" w:rsidRPr="00102279">
        <w:rPr>
          <w:rFonts w:cs="Times New Roman"/>
          <w:i/>
        </w:rPr>
        <w:t>no</w:t>
      </w:r>
      <w:r w:rsidR="00EF10AA" w:rsidRPr="00102279">
        <w:rPr>
          <w:rFonts w:cs="Times New Roman"/>
          <w:i/>
        </w:rPr>
        <w:t xml:space="preserve"> transformation in the dependent variable</w:t>
      </w:r>
      <w:r w:rsidR="00EF10AA" w:rsidRPr="00102279">
        <w:rPr>
          <w:rFonts w:cs="Times New Roman"/>
          <w:iCs/>
        </w:rPr>
        <w:t xml:space="preserve">, and the </w:t>
      </w:r>
      <w:r w:rsidR="00102279" w:rsidRPr="00102279">
        <w:rPr>
          <w:rFonts w:cs="Times New Roman"/>
          <w:iCs/>
        </w:rPr>
        <w:t xml:space="preserve">calculated </w:t>
      </w:r>
      <w:r w:rsidR="00EF10AA" w:rsidRPr="00102279">
        <w:rPr>
          <w:rFonts w:cs="Times New Roman"/>
          <w:iCs/>
        </w:rPr>
        <w:t xml:space="preserve">deviation is in the amount adsorbed and not the relative pressure. </w:t>
      </w:r>
      <w:r w:rsidRPr="00102279">
        <w:rPr>
          <w:rFonts w:cs="Times New Roman"/>
          <w:iCs/>
        </w:rPr>
        <w:t xml:space="preserve">The BET line was performed using the IUPAC </w:t>
      </w:r>
      <w:r w:rsidR="00797CA8" w:rsidRPr="00102279">
        <w:rPr>
          <w:rFonts w:cs="Times New Roman"/>
          <w:iCs/>
        </w:rPr>
        <w:t xml:space="preserve">method </w:t>
      </w:r>
      <w:r w:rsidRPr="00102279">
        <w:rPr>
          <w:rFonts w:cs="Times New Roman"/>
          <w:iCs/>
        </w:rPr>
        <w:t>convention</w:t>
      </w:r>
      <w:r w:rsidR="00797CA8" w:rsidRPr="00102279">
        <w:rPr>
          <w:rFonts w:cs="Times New Roman"/>
          <w:iCs/>
        </w:rPr>
        <w:t xml:space="preserve"> and makes no difference how it is displayed</w:t>
      </w:r>
      <w:r w:rsidR="00B36A84" w:rsidRPr="00102279">
        <w:rPr>
          <w:rFonts w:cs="Times New Roman"/>
          <w:iCs/>
        </w:rPr>
        <w:t>,</w:t>
      </w:r>
      <w:r w:rsidR="00797CA8" w:rsidRPr="00102279">
        <w:rPr>
          <w:rFonts w:cs="Times New Roman"/>
          <w:iCs/>
        </w:rPr>
        <w:t xml:space="preserve"> s</w:t>
      </w:r>
      <w:r w:rsidR="00B36A84" w:rsidRPr="00102279">
        <w:rPr>
          <w:rFonts w:cs="Times New Roman"/>
          <w:iCs/>
        </w:rPr>
        <w:t>o</w:t>
      </w:r>
      <w:r w:rsidR="00797CA8" w:rsidRPr="00102279">
        <w:rPr>
          <w:rFonts w:cs="Times New Roman"/>
          <w:iCs/>
        </w:rPr>
        <w:t xml:space="preserve"> long as the dependent</w:t>
      </w:r>
      <w:r w:rsidR="00910215" w:rsidRPr="00102279">
        <w:rPr>
          <w:rFonts w:cs="Times New Roman"/>
          <w:iCs/>
        </w:rPr>
        <w:t xml:space="preserve"> is </w:t>
      </w:r>
      <w:r w:rsidR="00910215" w:rsidRPr="00102279">
        <w:rPr>
          <w:rFonts w:cs="Times New Roman"/>
          <w:i/>
        </w:rPr>
        <w:t>n</w:t>
      </w:r>
      <w:r w:rsidR="00910215" w:rsidRPr="00102279">
        <w:rPr>
          <w:rFonts w:cs="Times New Roman"/>
          <w:iCs/>
          <w:vertAlign w:val="subscript"/>
        </w:rPr>
        <w:t>a</w:t>
      </w:r>
      <w:r w:rsidR="00910215" w:rsidRPr="00102279">
        <w:rPr>
          <w:rFonts w:cs="Times New Roman"/>
          <w:iCs/>
        </w:rPr>
        <w:t xml:space="preserve"> or </w:t>
      </w:r>
      <w:proofErr w:type="spellStart"/>
      <w:r w:rsidR="0038034A" w:rsidRPr="00102279">
        <w:rPr>
          <w:rFonts w:cs="Times New Roman"/>
          <w:i/>
        </w:rPr>
        <w:t>v</w:t>
      </w:r>
      <w:r w:rsidR="0038034A" w:rsidRPr="00102279">
        <w:rPr>
          <w:rFonts w:cs="Times New Roman"/>
          <w:iCs/>
          <w:vertAlign w:val="subscript"/>
        </w:rPr>
        <w:t>a</w:t>
      </w:r>
      <w:proofErr w:type="spellEnd"/>
      <w:r w:rsidR="0038034A" w:rsidRPr="00102279">
        <w:rPr>
          <w:rFonts w:cs="Times New Roman"/>
          <w:iCs/>
        </w:rPr>
        <w:t xml:space="preserve"> data and</w:t>
      </w:r>
      <w:r w:rsidR="00910215" w:rsidRPr="00102279">
        <w:rPr>
          <w:rFonts w:cs="Times New Roman"/>
          <w:iCs/>
        </w:rPr>
        <w:t xml:space="preserve"> not the transform</w:t>
      </w:r>
      <w:r w:rsidR="0038034A" w:rsidRPr="00102279">
        <w:rPr>
          <w:rFonts w:cs="Times New Roman"/>
          <w:iCs/>
        </w:rPr>
        <w:t>.</w:t>
      </w:r>
    </w:p>
    <w:p w14:paraId="66F3A0E9" w14:textId="77777777" w:rsidR="0038034A" w:rsidRPr="00127E8D" w:rsidRDefault="0038034A" w:rsidP="00543A53">
      <w:pPr>
        <w:pStyle w:val="NoSpacing"/>
        <w:rPr>
          <w:rFonts w:cs="Times New Roman"/>
          <w:iCs/>
          <w:color w:val="FF0000"/>
        </w:rPr>
      </w:pPr>
    </w:p>
    <w:p w14:paraId="3260918B" w14:textId="3E111838" w:rsidR="004E624C" w:rsidRDefault="00D72040" w:rsidP="00543A53">
      <w:pPr>
        <w:pStyle w:val="NoSpacing"/>
        <w:rPr>
          <w:rFonts w:cs="Times New Roman"/>
          <w:iCs/>
        </w:rPr>
      </w:pPr>
      <w:r>
        <w:rPr>
          <w:rFonts w:cs="Times New Roman"/>
          <w:iCs/>
        </w:rPr>
        <w:t>There is an</w:t>
      </w:r>
      <w:r w:rsidR="004C2597">
        <w:rPr>
          <w:rFonts w:cs="Times New Roman"/>
          <w:iCs/>
        </w:rPr>
        <w:t>other</w:t>
      </w:r>
      <w:r>
        <w:rPr>
          <w:rFonts w:cs="Times New Roman"/>
          <w:iCs/>
        </w:rPr>
        <w:t xml:space="preserve"> advantage using the </w:t>
      </w:r>
      <w:r w:rsidR="00EF10AA">
        <w:rPr>
          <w:rFonts w:cs="Times New Roman"/>
          <w:iCs/>
        </w:rPr>
        <w:t>χ-plot</w:t>
      </w:r>
      <w:r>
        <w:rPr>
          <w:rFonts w:cs="Times New Roman"/>
          <w:iCs/>
        </w:rPr>
        <w:t xml:space="preserve">. </w:t>
      </w:r>
      <w:r w:rsidR="00AF6ED1">
        <w:rPr>
          <w:rFonts w:cs="Times New Roman"/>
          <w:iCs/>
        </w:rPr>
        <w:t xml:space="preserve">It has already been mentioned that </w:t>
      </w:r>
      <w:r w:rsidR="00EF10AA">
        <w:rPr>
          <w:rFonts w:cs="Times New Roman"/>
          <w:iCs/>
        </w:rPr>
        <w:t xml:space="preserve">Δχ-plots have the advantage are spread out according to θ, which is the experimental increments </w:t>
      </w:r>
      <w:r w:rsidR="00B36A84">
        <w:rPr>
          <w:rFonts w:cs="Times New Roman"/>
          <w:iCs/>
        </w:rPr>
        <w:t xml:space="preserve">normally </w:t>
      </w:r>
      <w:r w:rsidR="00EF10AA">
        <w:rPr>
          <w:rFonts w:cs="Times New Roman"/>
          <w:iCs/>
        </w:rPr>
        <w:t>used.</w:t>
      </w:r>
      <w:r w:rsidR="004C2597">
        <w:rPr>
          <w:rFonts w:cs="Times New Roman"/>
          <w:iCs/>
        </w:rPr>
        <w:t xml:space="preserve">  </w:t>
      </w:r>
      <w:r w:rsidR="00AF6ED1">
        <w:rPr>
          <w:rFonts w:cs="Times New Roman"/>
          <w:iCs/>
        </w:rPr>
        <w:t xml:space="preserve">The </w:t>
      </w:r>
      <w:r w:rsidR="004C2597">
        <w:rPr>
          <w:rFonts w:cs="Times New Roman"/>
          <w:iCs/>
        </w:rPr>
        <w:t xml:space="preserve">χ-plots scales directly </w:t>
      </w:r>
      <w:r w:rsidR="00AF6ED1">
        <w:rPr>
          <w:rFonts w:cs="Times New Roman"/>
          <w:iCs/>
        </w:rPr>
        <w:t xml:space="preserve">with </w:t>
      </w:r>
      <w:proofErr w:type="gramStart"/>
      <w:r w:rsidR="004C2597">
        <w:rPr>
          <w:rFonts w:cs="Times New Roman"/>
          <w:b/>
          <w:bCs/>
          <w:iCs/>
        </w:rPr>
        <w:t>exp(</w:t>
      </w:r>
      <w:proofErr w:type="gramEnd"/>
      <w:r w:rsidR="004C2597" w:rsidRPr="004C2597">
        <w:rPr>
          <w:rFonts w:cs="Times New Roman"/>
          <w:b/>
          <w:bCs/>
          <w:iCs/>
        </w:rPr>
        <w:t>E</w:t>
      </w:r>
      <w:r w:rsidR="003C3C2D">
        <w:rPr>
          <w:rFonts w:cs="Times New Roman"/>
          <w:b/>
          <w:bCs/>
          <w:i/>
          <w:vertAlign w:val="subscript"/>
        </w:rPr>
        <w:t>l</w:t>
      </w:r>
      <w:r w:rsidR="003C3C2D">
        <w:rPr>
          <w:rFonts w:cs="Times New Roman"/>
          <w:b/>
          <w:bCs/>
          <w:iCs/>
          <w:vertAlign w:val="superscript"/>
        </w:rPr>
        <w:t>a</w:t>
      </w:r>
      <w:r w:rsidR="004C2597">
        <w:rPr>
          <w:rFonts w:cs="Times New Roman"/>
          <w:b/>
          <w:bCs/>
          <w:iCs/>
        </w:rPr>
        <w:t>/</w:t>
      </w:r>
      <w:r w:rsidR="004C2597" w:rsidRPr="004C2597">
        <w:rPr>
          <w:rFonts w:cs="Times New Roman"/>
          <w:i/>
        </w:rPr>
        <w:t>RT</w:t>
      </w:r>
      <w:r w:rsidR="004C2597">
        <w:rPr>
          <w:rFonts w:cs="Times New Roman"/>
          <w:iCs/>
        </w:rPr>
        <w:t xml:space="preserve">) </w:t>
      </w:r>
      <w:r w:rsidR="00AF6ED1">
        <w:rPr>
          <w:rFonts w:cs="Times New Roman"/>
          <w:iCs/>
        </w:rPr>
        <w:t>which is handy in calculating the onset of mesoporosity and the ESW notation scales the hysteresis forces</w:t>
      </w:r>
      <w:r w:rsidR="00D63C41">
        <w:rPr>
          <w:rFonts w:cs="Times New Roman"/>
          <w:iCs/>
        </w:rPr>
        <w:t>.</w:t>
      </w:r>
    </w:p>
    <w:p w14:paraId="77EBC8C9" w14:textId="77777777" w:rsidR="00DD1C47" w:rsidRDefault="00DD1C47" w:rsidP="00543A53">
      <w:pPr>
        <w:pStyle w:val="NoSpacing"/>
        <w:rPr>
          <w:rFonts w:cs="Times New Roman"/>
          <w:b/>
          <w:bCs/>
        </w:rPr>
      </w:pPr>
    </w:p>
    <w:p w14:paraId="13C3078C" w14:textId="6698A126" w:rsidR="006A39FD" w:rsidRPr="00326DA4" w:rsidRDefault="004859EA" w:rsidP="004859EA">
      <w:pPr>
        <w:pStyle w:val="NoSpacing"/>
        <w:outlineLvl w:val="0"/>
        <w:rPr>
          <w:rFonts w:cs="Times New Roman"/>
          <w:i/>
          <w:iCs/>
        </w:rPr>
      </w:pPr>
      <w:bookmarkStart w:id="36" w:name="_Toc171582135"/>
      <w:r>
        <w:rPr>
          <w:rFonts w:cs="Times New Roman"/>
          <w:b/>
          <w:bCs/>
        </w:rPr>
        <w:t>Part II</w:t>
      </w:r>
      <w:r w:rsidR="002B7062">
        <w:rPr>
          <w:rFonts w:cs="Times New Roman"/>
          <w:b/>
          <w:bCs/>
        </w:rPr>
        <w:t>I</w:t>
      </w:r>
      <w:r>
        <w:rPr>
          <w:rFonts w:cs="Times New Roman"/>
          <w:b/>
          <w:bCs/>
        </w:rPr>
        <w:t xml:space="preserve"> </w:t>
      </w:r>
      <w:r w:rsidR="00F228BD" w:rsidRPr="00F228BD">
        <w:rPr>
          <w:rFonts w:cs="Times New Roman"/>
          <w:b/>
          <w:bCs/>
        </w:rPr>
        <w:t>The weak spot for BET – Henry’s Law applied to physisorption</w:t>
      </w:r>
      <w:r w:rsidR="006A39FD" w:rsidRPr="00326DA4">
        <w:rPr>
          <w:rFonts w:cs="Times New Roman"/>
          <w:i/>
          <w:iCs/>
        </w:rPr>
        <w:t>:</w:t>
      </w:r>
      <w:bookmarkEnd w:id="36"/>
    </w:p>
    <w:p w14:paraId="3C0542DA" w14:textId="77777777" w:rsidR="006A39FD" w:rsidRDefault="006A39FD" w:rsidP="00543A53">
      <w:pPr>
        <w:pStyle w:val="NoSpacing"/>
        <w:rPr>
          <w:rFonts w:cs="Times New Roman"/>
        </w:rPr>
      </w:pPr>
    </w:p>
    <w:p w14:paraId="30E2797E" w14:textId="79B319AF" w:rsidR="006A39FD" w:rsidRDefault="006A39FD" w:rsidP="00543A53">
      <w:pPr>
        <w:pStyle w:val="NoSpacing"/>
        <w:rPr>
          <w:rFonts w:cs="Times New Roman"/>
        </w:rPr>
      </w:pPr>
      <w:r>
        <w:rPr>
          <w:rFonts w:cs="Times New Roman"/>
        </w:rPr>
        <w:t>The presence of a threshold pressure is</w:t>
      </w:r>
      <w:r w:rsidR="00F228BD">
        <w:rPr>
          <w:rFonts w:cs="Times New Roman"/>
        </w:rPr>
        <w:t xml:space="preserve"> a</w:t>
      </w:r>
      <w:r>
        <w:rPr>
          <w:rFonts w:cs="Times New Roman"/>
        </w:rPr>
        <w:t xml:space="preserve"> </w:t>
      </w:r>
      <w:r w:rsidRPr="007D22AD">
        <w:rPr>
          <w:rFonts w:cs="Times New Roman"/>
          <w:i/>
          <w:iCs/>
        </w:rPr>
        <w:t>definitive</w:t>
      </w:r>
      <w:r w:rsidR="007D22AD">
        <w:rPr>
          <w:rFonts w:cs="Times New Roman"/>
        </w:rPr>
        <w:t xml:space="preserve">, not </w:t>
      </w:r>
      <w:r w:rsidR="00F228BD">
        <w:rPr>
          <w:rFonts w:cs="Times New Roman"/>
        </w:rPr>
        <w:t xml:space="preserve">a </w:t>
      </w:r>
      <w:r w:rsidR="007D22AD">
        <w:rPr>
          <w:rFonts w:cs="Times New Roman"/>
        </w:rPr>
        <w:t>statistical,</w:t>
      </w:r>
      <w:r>
        <w:rPr>
          <w:rFonts w:cs="Times New Roman"/>
        </w:rPr>
        <w:t xml:space="preserve"> disproof of BET and similar “Henry’s Law” theories. These </w:t>
      </w:r>
      <w:r w:rsidR="00F228BD">
        <w:rPr>
          <w:rFonts w:cs="Times New Roman"/>
        </w:rPr>
        <w:t xml:space="preserve">“theories” </w:t>
      </w:r>
      <w:r>
        <w:rPr>
          <w:rFonts w:cs="Times New Roman"/>
        </w:rPr>
        <w:t>include multiple additions of BET or Langmuir isotherms</w:t>
      </w:r>
      <w:r w:rsidR="00052B53">
        <w:rPr>
          <w:rFonts w:cs="Times New Roman"/>
        </w:rPr>
        <w:t xml:space="preserve"> or using powers of these representations.  </w:t>
      </w:r>
      <w:r w:rsidR="00667968">
        <w:rPr>
          <w:rFonts w:cs="Times New Roman"/>
        </w:rPr>
        <w:t>Obviously,</w:t>
      </w:r>
      <w:r>
        <w:rPr>
          <w:rFonts w:cs="Times New Roman"/>
        </w:rPr>
        <w:t xml:space="preserve"> </w:t>
      </w:r>
      <w:r w:rsidR="00F228BD">
        <w:rPr>
          <w:rFonts w:cs="Times New Roman"/>
        </w:rPr>
        <w:t xml:space="preserve">the </w:t>
      </w:r>
      <w:r>
        <w:rPr>
          <w:rFonts w:cs="Times New Roman"/>
        </w:rPr>
        <w:t xml:space="preserve">addition of Langmuir </w:t>
      </w:r>
      <w:r w:rsidR="00F228BD">
        <w:rPr>
          <w:rFonts w:cs="Times New Roman"/>
        </w:rPr>
        <w:t xml:space="preserve">isotherms </w:t>
      </w:r>
      <w:r>
        <w:rPr>
          <w:rFonts w:cs="Times New Roman"/>
        </w:rPr>
        <w:t>cannot work past the inflection point</w:t>
      </w:r>
      <w:r w:rsidR="00052B53">
        <w:rPr>
          <w:rFonts w:cs="Times New Roman"/>
        </w:rPr>
        <w:t xml:space="preserve"> </w:t>
      </w:r>
      <w:r w:rsidR="007D22AD">
        <w:rPr>
          <w:rFonts w:cs="Times New Roman"/>
        </w:rPr>
        <w:t>since there is none</w:t>
      </w:r>
      <w:r>
        <w:rPr>
          <w:rFonts w:cs="Times New Roman"/>
        </w:rPr>
        <w:t xml:space="preserve">.  </w:t>
      </w:r>
      <w:r w:rsidR="00667968">
        <w:rPr>
          <w:rFonts w:cs="Times New Roman"/>
        </w:rPr>
        <w:t>Some combination use multiple BET or Langmuirs and add to them functions that simulate the high-pressure data with some justification, but summation still predicts “Henry’s Law.”  This approach is also disproved.</w:t>
      </w:r>
    </w:p>
    <w:p w14:paraId="7B5B9782" w14:textId="77777777" w:rsidR="006A39FD" w:rsidRDefault="006A39FD" w:rsidP="00543A53">
      <w:pPr>
        <w:pStyle w:val="NoSpacing"/>
        <w:rPr>
          <w:rFonts w:cs="Times New Roman"/>
        </w:rPr>
      </w:pPr>
    </w:p>
    <w:p w14:paraId="03D05409" w14:textId="1FC2B458" w:rsidR="006A39FD" w:rsidRDefault="006A39FD" w:rsidP="00543A53">
      <w:pPr>
        <w:pStyle w:val="NoSpacing"/>
        <w:rPr>
          <w:rFonts w:cs="Times New Roman"/>
        </w:rPr>
      </w:pPr>
      <w:r>
        <w:rPr>
          <w:rFonts w:cs="Times New Roman"/>
        </w:rPr>
        <w:lastRenderedPageBreak/>
        <w:t xml:space="preserve">To detect the threshold pressure, the equipment normally needs to be capable of at least </w:t>
      </w:r>
      <w:r w:rsidR="009070D5">
        <w:rPr>
          <w:rFonts w:cs="Times New Roman"/>
        </w:rPr>
        <w:t>HV</w:t>
      </w:r>
      <w:r>
        <w:rPr>
          <w:rFonts w:cs="Times New Roman"/>
        </w:rPr>
        <w:t xml:space="preserve">.  (There are some rare exceptions.) Therefore, it is usually not routinely observed.  Very often, the analysis starts after the first monolayer equivalent is already </w:t>
      </w:r>
      <w:proofErr w:type="gramStart"/>
      <w:r>
        <w:rPr>
          <w:rFonts w:cs="Times New Roman"/>
        </w:rPr>
        <w:t>adsorbed</w:t>
      </w:r>
      <w:proofErr w:type="gramEnd"/>
      <w:r>
        <w:rPr>
          <w:rFonts w:cs="Times New Roman"/>
        </w:rPr>
        <w:t xml:space="preserve">.  However, there are several laboratories that have </w:t>
      </w:r>
      <w:r w:rsidR="003E2BF0">
        <w:rPr>
          <w:rFonts w:cs="Times New Roman"/>
        </w:rPr>
        <w:t>HV or UHV systems</w:t>
      </w:r>
      <w:r>
        <w:rPr>
          <w:rFonts w:cs="Times New Roman"/>
        </w:rPr>
        <w:t>.  The following illustrate that it is possible to observe the threshold pressure.</w:t>
      </w:r>
    </w:p>
    <w:p w14:paraId="6A348FD8" w14:textId="77777777" w:rsidR="006A39FD" w:rsidRDefault="006A39FD" w:rsidP="00543A53">
      <w:pPr>
        <w:pStyle w:val="NoSpacing"/>
        <w:rPr>
          <w:rFonts w:cs="Times New Roman"/>
        </w:rPr>
      </w:pPr>
    </w:p>
    <w:p w14:paraId="7D7F429B" w14:textId="72E57CBD" w:rsidR="006A39FD" w:rsidRPr="00E31306" w:rsidRDefault="006A39FD" w:rsidP="004859EA">
      <w:pPr>
        <w:pStyle w:val="NoSpacing"/>
        <w:outlineLvl w:val="1"/>
        <w:rPr>
          <w:rFonts w:cs="Times New Roman"/>
        </w:rPr>
      </w:pPr>
      <w:bookmarkStart w:id="37" w:name="_Toc171582136"/>
      <w:r w:rsidRPr="00A51D05">
        <w:rPr>
          <w:rFonts w:cs="Times New Roman"/>
          <w:i/>
          <w:iCs/>
        </w:rPr>
        <w:t xml:space="preserve">Example </w:t>
      </w:r>
      <w:r w:rsidR="00ED7F54">
        <w:rPr>
          <w:rFonts w:cs="Times New Roman"/>
          <w:i/>
          <w:iCs/>
        </w:rPr>
        <w:t>2</w:t>
      </w:r>
      <w:r w:rsidRPr="00A51D05">
        <w:rPr>
          <w:rFonts w:cs="Times New Roman"/>
          <w:i/>
          <w:iCs/>
        </w:rPr>
        <w:t>)</w:t>
      </w:r>
      <w:r w:rsidR="00EA103A" w:rsidRPr="004327A6">
        <w:rPr>
          <w:rFonts w:eastAsiaTheme="minorHAnsi" w:cs="Times New Roman"/>
          <w:color w:val="000000" w:themeColor="text1"/>
          <w:kern w:val="0"/>
          <w:lang w:eastAsia="en-US" w:bidi="ar-SA"/>
        </w:rPr>
        <w:t xml:space="preserve"> </w:t>
      </w:r>
      <w:r>
        <w:rPr>
          <w:rFonts w:cs="Times New Roman"/>
          <w:i/>
          <w:iCs/>
        </w:rPr>
        <w:t xml:space="preserve">Data by Silvestre-Alberto, Silvestre-Alberto, Llewellyn and </w:t>
      </w:r>
      <w:r w:rsidR="00180ABE" w:rsidRPr="00180ABE">
        <w:rPr>
          <w:rFonts w:eastAsiaTheme="minorHAnsi" w:cs="Times New Roman"/>
          <w:i/>
          <w:iCs/>
          <w:kern w:val="0"/>
          <w:lang w:eastAsia="en-US" w:bidi="ar-SA"/>
        </w:rPr>
        <w:t>Rodríguez</w:t>
      </w:r>
      <w:r>
        <w:rPr>
          <w:rFonts w:cs="Times New Roman"/>
          <w:i/>
          <w:iCs/>
        </w:rPr>
        <w:t>-Reinoso:</w:t>
      </w:r>
      <w:bookmarkEnd w:id="37"/>
    </w:p>
    <w:p w14:paraId="11D24088" w14:textId="6F75A560" w:rsidR="003E2BF0" w:rsidRPr="00DD1C47" w:rsidRDefault="006A39FD" w:rsidP="00543A53">
      <w:pPr>
        <w:pStyle w:val="NoSpacing"/>
        <w:rPr>
          <w:rFonts w:eastAsiaTheme="minorHAnsi" w:cs="Times New Roman"/>
          <w:kern w:val="0"/>
          <w:lang w:eastAsia="en-US" w:bidi="ar-SA"/>
        </w:rPr>
      </w:pPr>
      <w:r>
        <w:rPr>
          <w:rFonts w:eastAsiaTheme="minorHAnsi" w:cs="Times New Roman"/>
          <w:kern w:val="0"/>
          <w:lang w:eastAsia="en-US" w:bidi="ar-SA"/>
        </w:rPr>
        <w:t>The d</w:t>
      </w:r>
      <w:r w:rsidRPr="00173FF2">
        <w:rPr>
          <w:rFonts w:eastAsiaTheme="minorHAnsi" w:cs="Times New Roman"/>
          <w:kern w:val="0"/>
          <w:lang w:eastAsia="en-US" w:bidi="ar-SA"/>
        </w:rPr>
        <w:t xml:space="preserve">ata </w:t>
      </w:r>
      <w:r>
        <w:rPr>
          <w:rFonts w:eastAsiaTheme="minorHAnsi" w:cs="Times New Roman"/>
          <w:kern w:val="0"/>
          <w:lang w:eastAsia="en-US" w:bidi="ar-SA"/>
        </w:rPr>
        <w:t>of N</w:t>
      </w:r>
      <w:r w:rsidRPr="00277A8D">
        <w:rPr>
          <w:rFonts w:eastAsiaTheme="minorHAnsi" w:cs="Times New Roman"/>
          <w:kern w:val="0"/>
          <w:vertAlign w:val="subscript"/>
          <w:lang w:eastAsia="en-US" w:bidi="ar-SA"/>
        </w:rPr>
        <w:t>2</w:t>
      </w:r>
      <w:r>
        <w:rPr>
          <w:rFonts w:eastAsiaTheme="minorHAnsi" w:cs="Times New Roman"/>
          <w:kern w:val="0"/>
          <w:lang w:eastAsia="en-US" w:bidi="ar-SA"/>
        </w:rPr>
        <w:t xml:space="preserve"> </w:t>
      </w:r>
      <w:r w:rsidR="00DD1C47">
        <w:rPr>
          <w:rFonts w:eastAsiaTheme="minorHAnsi" w:cs="Times New Roman"/>
          <w:kern w:val="0"/>
          <w:lang w:eastAsia="en-US" w:bidi="ar-SA"/>
        </w:rPr>
        <w:t>absorbed</w:t>
      </w:r>
      <w:r>
        <w:rPr>
          <w:rFonts w:eastAsiaTheme="minorHAnsi" w:cs="Times New Roman"/>
          <w:kern w:val="0"/>
          <w:lang w:eastAsia="en-US" w:bidi="ar-SA"/>
        </w:rPr>
        <w:t xml:space="preserve"> on </w:t>
      </w:r>
      <w:r w:rsidR="00BE3237">
        <w:rPr>
          <w:rFonts w:cs="Times New Roman"/>
        </w:rPr>
        <w:t>microporous activate</w:t>
      </w:r>
      <w:r w:rsidR="00052B53">
        <w:rPr>
          <w:rFonts w:cs="Times New Roman"/>
        </w:rPr>
        <w:t>d</w:t>
      </w:r>
      <w:r w:rsidR="00BE3237">
        <w:rPr>
          <w:rFonts w:cs="Times New Roman"/>
        </w:rPr>
        <w:t xml:space="preserve"> carbon (LMA233.) </w:t>
      </w:r>
      <w:r>
        <w:rPr>
          <w:rFonts w:eastAsiaTheme="minorHAnsi" w:cs="Times New Roman"/>
          <w:kern w:val="0"/>
          <w:lang w:eastAsia="en-US" w:bidi="ar-SA"/>
        </w:rPr>
        <w:t xml:space="preserve">by </w:t>
      </w:r>
      <w:r w:rsidRPr="00173FF2">
        <w:rPr>
          <w:rFonts w:eastAsiaTheme="minorHAnsi" w:cs="Times New Roman"/>
          <w:kern w:val="0"/>
          <w:lang w:eastAsia="en-US" w:bidi="ar-SA"/>
        </w:rPr>
        <w:t>Silvestre-Albero, Silvestre-Albero, Llewellyn,</w:t>
      </w:r>
      <w:r>
        <w:rPr>
          <w:rFonts w:eastAsiaTheme="minorHAnsi" w:cs="Times New Roman"/>
          <w:kern w:val="0"/>
          <w:lang w:eastAsia="en-US" w:bidi="ar-SA"/>
        </w:rPr>
        <w:t xml:space="preserve"> </w:t>
      </w:r>
      <w:r w:rsidRPr="00173FF2">
        <w:rPr>
          <w:rFonts w:eastAsiaTheme="minorHAnsi" w:cs="Times New Roman"/>
          <w:kern w:val="0"/>
          <w:lang w:eastAsia="en-US" w:bidi="ar-SA"/>
        </w:rPr>
        <w:t>and Rodríguez-Reinoso</w:t>
      </w:r>
      <w:r w:rsidRPr="00173FF2">
        <w:rPr>
          <w:rStyle w:val="EndnoteReference"/>
          <w:rFonts w:eastAsiaTheme="minorHAnsi" w:cs="Times New Roman"/>
          <w:kern w:val="0"/>
          <w:lang w:eastAsia="en-US" w:bidi="ar-SA"/>
        </w:rPr>
        <w:endnoteReference w:id="34"/>
      </w:r>
      <w:r>
        <w:rPr>
          <w:rFonts w:eastAsiaTheme="minorHAnsi" w:cs="Times New Roman"/>
          <w:kern w:val="0"/>
          <w:lang w:eastAsia="en-US" w:bidi="ar-SA"/>
        </w:rPr>
        <w:t xml:space="preserve"> (AALR) evidences the threshold pressure at 2 x 10</w:t>
      </w:r>
      <w:r w:rsidRPr="00C852BE">
        <w:rPr>
          <w:rFonts w:eastAsiaTheme="minorHAnsi" w:cs="Times New Roman"/>
          <w:kern w:val="0"/>
          <w:vertAlign w:val="superscript"/>
          <w:lang w:eastAsia="en-US" w:bidi="ar-SA"/>
        </w:rPr>
        <w:t>-7</w:t>
      </w:r>
      <w:r>
        <w:rPr>
          <w:rFonts w:eastAsiaTheme="minorHAnsi" w:cs="Times New Roman"/>
          <w:kern w:val="0"/>
          <w:lang w:eastAsia="en-US" w:bidi="ar-SA"/>
        </w:rPr>
        <w:t xml:space="preserve"> bar</w:t>
      </w:r>
      <w:r>
        <w:rPr>
          <w:rFonts w:cs="Times New Roman"/>
        </w:rPr>
        <w:t xml:space="preserve">.  In </w:t>
      </w:r>
      <w:r w:rsidR="00225570">
        <w:rPr>
          <w:rFonts w:cs="Times New Roman"/>
        </w:rPr>
        <w:fldChar w:fldCharType="begin"/>
      </w:r>
      <w:r w:rsidR="00225570">
        <w:rPr>
          <w:rFonts w:cs="Times New Roman"/>
        </w:rPr>
        <w:instrText xml:space="preserve"> REF _Ref169171715 \h </w:instrText>
      </w:r>
      <w:r w:rsidR="00225570">
        <w:rPr>
          <w:rFonts w:cs="Times New Roman"/>
        </w:rPr>
      </w:r>
      <w:r w:rsidR="00225570">
        <w:rPr>
          <w:rFonts w:cs="Times New Roman"/>
        </w:rPr>
        <w:fldChar w:fldCharType="separate"/>
      </w:r>
      <w:r w:rsidR="00040CA9" w:rsidRPr="00225570">
        <w:rPr>
          <w:i/>
          <w:iCs/>
        </w:rPr>
        <w:t xml:space="preserve">Figure </w:t>
      </w:r>
      <w:r w:rsidR="00040CA9">
        <w:rPr>
          <w:i/>
          <w:iCs/>
          <w:noProof/>
        </w:rPr>
        <w:t>5</w:t>
      </w:r>
      <w:r w:rsidR="00225570">
        <w:rPr>
          <w:rFonts w:cs="Times New Roman"/>
        </w:rPr>
        <w:fldChar w:fldCharType="end"/>
      </w:r>
      <w:r>
        <w:rPr>
          <w:rFonts w:cs="Times New Roman"/>
        </w:rPr>
        <w:t xml:space="preserve"> is a graph of data obtain for the referred to </w:t>
      </w:r>
      <w:r>
        <w:rPr>
          <w:rFonts w:eastAsiaTheme="minorHAnsi" w:cs="Times New Roman"/>
          <w:kern w:val="0"/>
          <w:lang w:eastAsia="en-US" w:bidi="ar-SA"/>
        </w:rPr>
        <w:t>AALR</w:t>
      </w:r>
      <w:r>
        <w:rPr>
          <w:rFonts w:cs="Times New Roman"/>
        </w:rPr>
        <w:t xml:space="preserve"> paper.</w:t>
      </w:r>
    </w:p>
    <w:p w14:paraId="54BBE814" w14:textId="77777777" w:rsidR="003E2BF0" w:rsidRDefault="003E2BF0" w:rsidP="00543A53">
      <w:pPr>
        <w:pStyle w:val="NoSpacing"/>
        <w:rPr>
          <w:rFonts w:cs="Times New Roman"/>
        </w:rPr>
      </w:pPr>
    </w:p>
    <w:p w14:paraId="661EA93F" w14:textId="609BD6F4" w:rsidR="00C0730F" w:rsidRPr="003E2BF0" w:rsidRDefault="00C0730F" w:rsidP="00543A53">
      <w:pPr>
        <w:pStyle w:val="NoSpacing"/>
        <w:rPr>
          <w:rFonts w:cs="Times New Roman"/>
        </w:rPr>
      </w:pPr>
      <w:r>
        <w:t>They also observed a threshold pressure for the adsorption of N</w:t>
      </w:r>
      <w:r w:rsidRPr="00C852BE">
        <w:rPr>
          <w:vertAlign w:val="subscript"/>
        </w:rPr>
        <w:t>2</w:t>
      </w:r>
      <w:r>
        <w:t xml:space="preserve"> </w:t>
      </w:r>
      <w:r w:rsidR="00DD1C47">
        <w:t>absorbed</w:t>
      </w:r>
      <w:r w:rsidRPr="00B441A3">
        <w:rPr>
          <w:rFonts w:cs="Times New Roman"/>
        </w:rPr>
        <w:t xml:space="preserve"> on </w:t>
      </w:r>
      <w:r w:rsidRPr="00B441A3">
        <w:rPr>
          <w:rFonts w:eastAsiaTheme="minorHAnsi" w:cs="Times New Roman"/>
          <w:kern w:val="0"/>
          <w:lang w:eastAsia="en-US" w:bidi="ar-SA"/>
        </w:rPr>
        <w:t>ordered mesoporous silica SBA-15</w:t>
      </w:r>
      <w:r>
        <w:rPr>
          <w:rFonts w:eastAsiaTheme="minorHAnsi" w:cs="Times New Roman"/>
          <w:kern w:val="0"/>
          <w:lang w:eastAsia="en-US" w:bidi="ar-SA"/>
        </w:rPr>
        <w:t xml:space="preserve"> at ~2 x 10</w:t>
      </w:r>
      <w:r w:rsidRPr="00B441A3">
        <w:rPr>
          <w:rFonts w:eastAsiaTheme="minorHAnsi" w:cs="Times New Roman"/>
          <w:kern w:val="0"/>
          <w:vertAlign w:val="superscript"/>
          <w:lang w:eastAsia="en-US" w:bidi="ar-SA"/>
        </w:rPr>
        <w:t>-6</w:t>
      </w:r>
      <w:r>
        <w:rPr>
          <w:rFonts w:eastAsiaTheme="minorHAnsi" w:cs="Times New Roman"/>
          <w:kern w:val="0"/>
          <w:lang w:eastAsia="en-US" w:bidi="ar-SA"/>
        </w:rPr>
        <w:t xml:space="preserve"> bar and</w:t>
      </w:r>
      <w:r w:rsidRPr="00B441A3">
        <w:rPr>
          <w:rFonts w:eastAsiaTheme="minorHAnsi" w:cs="Times New Roman"/>
          <w:kern w:val="0"/>
          <w:lang w:eastAsia="en-US" w:bidi="ar-SA"/>
        </w:rPr>
        <w:t xml:space="preserve"> on activated carbon DD52</w:t>
      </w:r>
      <w:r>
        <w:rPr>
          <w:rFonts w:eastAsiaTheme="minorHAnsi" w:cs="Times New Roman"/>
          <w:kern w:val="0"/>
          <w:lang w:eastAsia="en-US" w:bidi="ar-SA"/>
        </w:rPr>
        <w:t xml:space="preserve"> at ~6.5 x 10</w:t>
      </w:r>
      <w:r w:rsidRPr="00B441A3">
        <w:rPr>
          <w:rFonts w:eastAsiaTheme="minorHAnsi" w:cs="Times New Roman"/>
          <w:kern w:val="0"/>
          <w:vertAlign w:val="superscript"/>
          <w:lang w:eastAsia="en-US" w:bidi="ar-SA"/>
        </w:rPr>
        <w:t>-6</w:t>
      </w:r>
      <w:r>
        <w:rPr>
          <w:rFonts w:eastAsiaTheme="minorHAnsi" w:cs="Times New Roman"/>
          <w:kern w:val="0"/>
          <w:lang w:eastAsia="en-US" w:bidi="ar-SA"/>
        </w:rPr>
        <w:t xml:space="preserve"> bar.</w:t>
      </w:r>
    </w:p>
    <w:p w14:paraId="3F1E32FA" w14:textId="0A15F9CA" w:rsidR="00BB5988" w:rsidRDefault="00C0730F" w:rsidP="00543A53">
      <w:pPr>
        <w:pStyle w:val="NoSpacing"/>
      </w:pPr>
      <w:r>
        <w:t>Although the purpose of this paper was to warn researcher</w:t>
      </w:r>
      <w:r w:rsidR="00DD1C47">
        <w:t>s</w:t>
      </w:r>
      <w:r>
        <w:t xml:space="preserve"> how to handle “dead space” gas out-gassing, as a side issue it clearly shows the threshold pressure in the </w:t>
      </w:r>
      <w:r w:rsidR="00225570">
        <w:t>HV</w:t>
      </w:r>
      <w:r>
        <w:t xml:space="preserve"> range.  (This publication is extremely important, for reasons other than the threshold pressure, and all researchers in the area should read it.)</w:t>
      </w:r>
    </w:p>
    <w:p w14:paraId="437BFBF1" w14:textId="77777777" w:rsidR="00DD1C47" w:rsidRDefault="00DD1C47" w:rsidP="00543A53">
      <w:pPr>
        <w:pStyle w:val="NoSpacing"/>
      </w:pPr>
    </w:p>
    <w:p w14:paraId="2AAD71E1" w14:textId="1F9483AE" w:rsidR="00BF5BD0" w:rsidRPr="00180ABE" w:rsidRDefault="00BF5BD0" w:rsidP="00543A53">
      <w:pPr>
        <w:pStyle w:val="NoSpacing"/>
      </w:pPr>
      <w:r>
        <w:t xml:space="preserve">The graph by </w:t>
      </w:r>
      <w:r>
        <w:rPr>
          <w:rFonts w:eastAsiaTheme="minorHAnsi" w:cs="Times New Roman"/>
          <w:kern w:val="0"/>
          <w:lang w:eastAsia="en-US" w:bidi="ar-SA"/>
        </w:rPr>
        <w:t>AALR</w:t>
      </w:r>
      <w:r>
        <w:t xml:space="preserve"> shows the isotherm as </w:t>
      </w:r>
      <w:r w:rsidR="00BB5988">
        <w:t>the</w:t>
      </w:r>
      <w:r>
        <w:t xml:space="preserve"> log-law.  This law is predicted from the QM model for adsorption that is physically restricted to one monolayer. (See </w:t>
      </w:r>
      <w:r w:rsidR="001E3B93">
        <w:rPr>
          <w:iCs/>
        </w:rPr>
        <w:t xml:space="preserve"> </w:t>
      </w:r>
      <w:r w:rsidR="001E3B93" w:rsidRPr="00942798">
        <w:rPr>
          <w:i/>
        </w:rPr>
        <w:fldChar w:fldCharType="begin"/>
      </w:r>
      <w:r w:rsidR="001E3B93" w:rsidRPr="00942798">
        <w:rPr>
          <w:i/>
        </w:rPr>
        <w:instrText xml:space="preserve"> REF _Ref169165296 \h </w:instrText>
      </w:r>
      <w:r w:rsidR="001E3B93">
        <w:rPr>
          <w:i/>
        </w:rPr>
        <w:instrText xml:space="preserve"> \* MERGEFORMAT </w:instrText>
      </w:r>
      <w:r w:rsidR="001E3B93" w:rsidRPr="00942798">
        <w:rPr>
          <w:i/>
        </w:rPr>
      </w:r>
      <w:r w:rsidR="001E3B93" w:rsidRPr="00942798">
        <w:rPr>
          <w:i/>
        </w:rPr>
        <w:fldChar w:fldCharType="separate"/>
      </w:r>
      <w:r w:rsidR="00040CA9" w:rsidRPr="00040CA9">
        <w:rPr>
          <w:i/>
          <w:szCs w:val="24"/>
        </w:rPr>
        <w:t xml:space="preserve">Equation </w:t>
      </w:r>
      <w:r w:rsidR="00040CA9" w:rsidRPr="00040CA9">
        <w:rPr>
          <w:i/>
          <w:noProof/>
          <w:szCs w:val="24"/>
        </w:rPr>
        <w:t>8</w:t>
      </w:r>
      <w:r w:rsidR="001E3B93" w:rsidRPr="00942798">
        <w:rPr>
          <w:i/>
        </w:rPr>
        <w:fldChar w:fldCharType="end"/>
      </w:r>
      <w:r>
        <w:t xml:space="preserve"> above.)</w:t>
      </w:r>
      <w:r w:rsidR="00180ABE">
        <w:t xml:space="preserve">  Notice that the data points not the </w:t>
      </w:r>
      <w:r w:rsidR="00BE3237">
        <w:t>[</w:t>
      </w:r>
      <w:r w:rsidR="00180ABE">
        <w:rPr>
          <w:i/>
          <w:iCs/>
        </w:rPr>
        <w:t>n</w:t>
      </w:r>
      <w:r w:rsidR="00180ABE" w:rsidRPr="00180ABE">
        <w:rPr>
          <w:vertAlign w:val="subscript"/>
        </w:rPr>
        <w:t>ads</w:t>
      </w:r>
      <w:r w:rsidR="00180ABE">
        <w:t>,</w:t>
      </w:r>
      <w:r w:rsidR="003E2BF0">
        <w:t xml:space="preserve"> </w:t>
      </w:r>
      <w:r w:rsidR="00180ABE">
        <w:t>X</w:t>
      </w:r>
      <w:r w:rsidR="00BE3237">
        <w:t>]</w:t>
      </w:r>
      <w:r w:rsidR="00180ABE">
        <w:t xml:space="preserve"> = </w:t>
      </w:r>
      <w:r w:rsidR="00BE3237">
        <w:t>[</w:t>
      </w:r>
      <w:r w:rsidR="00180ABE">
        <w:t>0,</w:t>
      </w:r>
      <w:r w:rsidR="003E2BF0">
        <w:t xml:space="preserve"> </w:t>
      </w:r>
      <w:r w:rsidR="00180ABE">
        <w:t>0</w:t>
      </w:r>
      <w:r w:rsidR="00BE3237">
        <w:t>]</w:t>
      </w:r>
      <w:r w:rsidR="00180ABE">
        <w:t xml:space="preserve">, but to </w:t>
      </w:r>
      <w:r w:rsidR="00BE3237">
        <w:t>[</w:t>
      </w:r>
      <w:r w:rsidR="00180ABE">
        <w:t>0,</w:t>
      </w:r>
      <w:r w:rsidR="003E2BF0">
        <w:t xml:space="preserve"> </w:t>
      </w:r>
      <w:r w:rsidR="00180ABE">
        <w:t>~2</w:t>
      </w:r>
      <w:r w:rsidR="00180ABE">
        <w:rPr>
          <w:rFonts w:cs="Times New Roman"/>
        </w:rPr>
        <w:t>×</w:t>
      </w:r>
      <w:r w:rsidR="00180ABE">
        <w:t>10</w:t>
      </w:r>
      <w:r w:rsidR="00180ABE" w:rsidRPr="00A31A88">
        <w:rPr>
          <w:vertAlign w:val="superscript"/>
        </w:rPr>
        <w:t>-7</w:t>
      </w:r>
      <w:r w:rsidR="00BE3237">
        <w:t>]</w:t>
      </w:r>
      <w:r w:rsidR="00180ABE">
        <w:t>.</w:t>
      </w:r>
    </w:p>
    <w:p w14:paraId="5AF69463" w14:textId="77777777" w:rsidR="00BF5BD0" w:rsidRDefault="00BF5BD0" w:rsidP="00543A53">
      <w:pPr>
        <w:pStyle w:val="NoSpacing"/>
        <w:rPr>
          <w:rFonts w:cs="Times New Roman"/>
        </w:rPr>
      </w:pPr>
    </w:p>
    <w:tbl>
      <w:tblPr>
        <w:tblStyle w:val="TableGrid"/>
        <w:tblW w:w="0" w:type="auto"/>
        <w:tblLook w:val="04A0" w:firstRow="1" w:lastRow="0" w:firstColumn="1" w:lastColumn="0" w:noHBand="0" w:noVBand="1"/>
      </w:tblPr>
      <w:tblGrid>
        <w:gridCol w:w="9350"/>
      </w:tblGrid>
      <w:tr w:rsidR="006A39FD" w14:paraId="2C5358EB" w14:textId="77777777" w:rsidTr="00E80D26">
        <w:tc>
          <w:tcPr>
            <w:tcW w:w="9350" w:type="dxa"/>
          </w:tcPr>
          <w:p w14:paraId="40A77707" w14:textId="77777777" w:rsidR="00845C16" w:rsidRDefault="00845C16" w:rsidP="00543A53">
            <w:pPr>
              <w:pStyle w:val="NoSpacing"/>
            </w:pPr>
            <w:r>
              <w:rPr>
                <w:noProof/>
              </w:rPr>
              <w:drawing>
                <wp:inline distT="0" distB="0" distL="0" distR="0" wp14:anchorId="208D3920" wp14:editId="64D53479">
                  <wp:extent cx="4123890" cy="3324225"/>
                  <wp:effectExtent l="0" t="0" r="0" b="0"/>
                  <wp:docPr id="17495695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69501" name="Picture 174956950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132672" cy="3331304"/>
                          </a:xfrm>
                          <a:prstGeom prst="rect">
                            <a:avLst/>
                          </a:prstGeom>
                        </pic:spPr>
                      </pic:pic>
                    </a:graphicData>
                  </a:graphic>
                </wp:inline>
              </w:drawing>
            </w:r>
          </w:p>
          <w:p w14:paraId="738E11F2" w14:textId="4DCABBD1" w:rsidR="006A39FD" w:rsidRPr="00225570" w:rsidRDefault="00845C16" w:rsidP="00543A53">
            <w:pPr>
              <w:pStyle w:val="NoSpacing"/>
              <w:rPr>
                <w:rFonts w:cs="Arial"/>
                <w:i/>
                <w:iCs/>
                <w:szCs w:val="24"/>
              </w:rPr>
            </w:pPr>
            <w:bookmarkStart w:id="38" w:name="_Ref169171715"/>
            <w:r w:rsidRPr="00225570">
              <w:rPr>
                <w:i/>
                <w:iCs/>
              </w:rPr>
              <w:t xml:space="preserve">Figure </w:t>
            </w:r>
            <w:r w:rsidRPr="00225570">
              <w:rPr>
                <w:i/>
                <w:iCs/>
              </w:rPr>
              <w:fldChar w:fldCharType="begin"/>
            </w:r>
            <w:r w:rsidRPr="00225570">
              <w:rPr>
                <w:i/>
                <w:iCs/>
              </w:rPr>
              <w:instrText xml:space="preserve"> SEQ Figure \* ARABIC </w:instrText>
            </w:r>
            <w:r w:rsidRPr="00225570">
              <w:rPr>
                <w:i/>
                <w:iCs/>
              </w:rPr>
              <w:fldChar w:fldCharType="separate"/>
            </w:r>
            <w:r w:rsidR="00040CA9">
              <w:rPr>
                <w:i/>
                <w:iCs/>
                <w:noProof/>
              </w:rPr>
              <w:t>5</w:t>
            </w:r>
            <w:r w:rsidRPr="00225570">
              <w:rPr>
                <w:i/>
                <w:iCs/>
                <w:noProof/>
              </w:rPr>
              <w:fldChar w:fldCharType="end"/>
            </w:r>
            <w:bookmarkEnd w:id="38"/>
            <w:r w:rsidRPr="00225570">
              <w:rPr>
                <w:i/>
                <w:iCs/>
              </w:rPr>
              <w:t xml:space="preserve"> </w:t>
            </w:r>
            <w:r w:rsidR="008F6C04" w:rsidRPr="00225570">
              <w:rPr>
                <w:i/>
                <w:iCs/>
              </w:rPr>
              <w:t xml:space="preserve"> </w:t>
            </w:r>
            <w:r w:rsidRPr="00225570">
              <w:rPr>
                <w:i/>
                <w:iCs/>
                <w:szCs w:val="24"/>
              </w:rPr>
              <w:t xml:space="preserve">Data by </w:t>
            </w:r>
            <w:r w:rsidRPr="00225570">
              <w:rPr>
                <w:rFonts w:eastAsiaTheme="minorHAnsi" w:cs="Times New Roman"/>
                <w:i/>
                <w:iCs/>
                <w:kern w:val="0"/>
                <w:szCs w:val="24"/>
                <w:lang w:eastAsia="en-US" w:bidi="ar-SA"/>
              </w:rPr>
              <w:t>AALR on microporous carbon illustrating 1) effect of dead space gas and 2) clearly shows the threshold pressure.  This uses the QM transform from</w:t>
            </w:r>
            <w:r w:rsidR="001E3B93">
              <w:rPr>
                <w:rFonts w:eastAsiaTheme="minorHAnsi" w:cs="Times New Roman"/>
                <w:i/>
                <w:iCs/>
                <w:kern w:val="0"/>
                <w:szCs w:val="24"/>
                <w:lang w:eastAsia="en-US" w:bidi="ar-SA"/>
              </w:rPr>
              <w:t xml:space="preserve"> </w:t>
            </w:r>
            <w:r w:rsidR="001E3B93" w:rsidRPr="00942798">
              <w:rPr>
                <w:i/>
              </w:rPr>
              <w:fldChar w:fldCharType="begin"/>
            </w:r>
            <w:r w:rsidR="001E3B93" w:rsidRPr="00942798">
              <w:rPr>
                <w:i/>
              </w:rPr>
              <w:instrText xml:space="preserve"> REF _Ref169165296 \h </w:instrText>
            </w:r>
            <w:r w:rsidR="001E3B93">
              <w:rPr>
                <w:i/>
              </w:rPr>
              <w:instrText xml:space="preserve"> \* MERGEFORMAT </w:instrText>
            </w:r>
            <w:r w:rsidR="001E3B93" w:rsidRPr="00942798">
              <w:rPr>
                <w:i/>
              </w:rPr>
            </w:r>
            <w:r w:rsidR="001E3B93" w:rsidRPr="00942798">
              <w:rPr>
                <w:i/>
              </w:rPr>
              <w:fldChar w:fldCharType="separate"/>
            </w:r>
            <w:r w:rsidR="00040CA9" w:rsidRPr="00040CA9">
              <w:rPr>
                <w:i/>
                <w:szCs w:val="24"/>
              </w:rPr>
              <w:t xml:space="preserve">Equation </w:t>
            </w:r>
            <w:r w:rsidR="00040CA9" w:rsidRPr="00040CA9">
              <w:rPr>
                <w:i/>
                <w:noProof/>
                <w:szCs w:val="24"/>
              </w:rPr>
              <w:t>8</w:t>
            </w:r>
            <w:r w:rsidR="001E3B93" w:rsidRPr="00942798">
              <w:rPr>
                <w:i/>
              </w:rPr>
              <w:fldChar w:fldCharType="end"/>
            </w:r>
            <w:r w:rsidRPr="00225570">
              <w:rPr>
                <w:rFonts w:eastAsiaTheme="minorHAnsi" w:cs="Times New Roman"/>
                <w:i/>
                <w:iCs/>
                <w:kern w:val="0"/>
                <w:szCs w:val="24"/>
                <w:lang w:eastAsia="en-US" w:bidi="ar-SA"/>
              </w:rPr>
              <w:t xml:space="preserve"> indicating restriction to a monolayer.</w:t>
            </w:r>
            <w:r w:rsidR="005B23A4" w:rsidRPr="00225570">
              <w:rPr>
                <w:rFonts w:eastAsiaTheme="minorHAnsi" w:cs="Times New Roman"/>
                <w:i/>
                <w:iCs/>
                <w:kern w:val="0"/>
                <w:szCs w:val="24"/>
                <w:lang w:eastAsia="en-US" w:bidi="ar-SA"/>
              </w:rPr>
              <w:t xml:space="preserve">  Used with permission from American Chemical Society.</w:t>
            </w:r>
          </w:p>
        </w:tc>
      </w:tr>
    </w:tbl>
    <w:p w14:paraId="1486E758" w14:textId="77777777" w:rsidR="006A39FD" w:rsidRDefault="006A39FD" w:rsidP="00543A53">
      <w:pPr>
        <w:pStyle w:val="NoSpacing"/>
        <w:rPr>
          <w:rFonts w:cs="Times New Roman"/>
        </w:rPr>
      </w:pPr>
    </w:p>
    <w:p w14:paraId="1665E8BF" w14:textId="68EF4E9A" w:rsidR="00845C16" w:rsidRDefault="00845C16" w:rsidP="004859EA">
      <w:pPr>
        <w:pStyle w:val="NoSpacing"/>
        <w:outlineLvl w:val="1"/>
        <w:rPr>
          <w:szCs w:val="24"/>
        </w:rPr>
      </w:pPr>
      <w:bookmarkStart w:id="39" w:name="_Toc171582137"/>
      <w:r w:rsidRPr="00DD1C47">
        <w:rPr>
          <w:i/>
          <w:iCs/>
          <w:szCs w:val="24"/>
        </w:rPr>
        <w:t xml:space="preserve">Example </w:t>
      </w:r>
      <w:r w:rsidR="00ED7F54" w:rsidRPr="00DD1C47">
        <w:rPr>
          <w:i/>
          <w:iCs/>
          <w:szCs w:val="24"/>
        </w:rPr>
        <w:t>3</w:t>
      </w:r>
      <w:r w:rsidRPr="00DD1C47">
        <w:rPr>
          <w:i/>
          <w:iCs/>
          <w:szCs w:val="24"/>
        </w:rPr>
        <w:t>) The Nguyen and Du Data</w:t>
      </w:r>
      <w:r w:rsidRPr="00A51D05">
        <w:rPr>
          <w:szCs w:val="24"/>
        </w:rPr>
        <w:t>.</w:t>
      </w:r>
      <w:bookmarkEnd w:id="39"/>
    </w:p>
    <w:p w14:paraId="5CD809DC" w14:textId="77777777" w:rsidR="005B23A4" w:rsidRPr="00A51D05" w:rsidRDefault="005B23A4" w:rsidP="00543A53">
      <w:pPr>
        <w:pStyle w:val="NoSpacing"/>
        <w:rPr>
          <w:szCs w:val="24"/>
        </w:rPr>
      </w:pPr>
    </w:p>
    <w:p w14:paraId="550B4AFF" w14:textId="0E663E40" w:rsidR="00C0730F" w:rsidRDefault="00C0730F" w:rsidP="00543A53">
      <w:pPr>
        <w:pStyle w:val="NoSpacing"/>
      </w:pPr>
      <w:r w:rsidRPr="001C4938">
        <w:t>The threshold pressure can be seen from the data by Nguyen and Du</w:t>
      </w:r>
      <w:r w:rsidRPr="001C4938">
        <w:rPr>
          <w:rStyle w:val="EndnoteReference"/>
        </w:rPr>
        <w:endnoteReference w:id="35"/>
      </w:r>
      <w:r w:rsidRPr="001C4938">
        <w:t xml:space="preserve">, of argon adsorbed on microporous carbon. This is shown in </w:t>
      </w:r>
      <w:r w:rsidR="00225570" w:rsidRPr="00225570">
        <w:rPr>
          <w:i/>
          <w:iCs/>
        </w:rPr>
        <w:fldChar w:fldCharType="begin"/>
      </w:r>
      <w:r w:rsidR="00225570" w:rsidRPr="00225570">
        <w:rPr>
          <w:i/>
          <w:iCs/>
        </w:rPr>
        <w:instrText xml:space="preserve"> REF _Ref169171730 \h </w:instrText>
      </w:r>
      <w:r w:rsidR="00225570">
        <w:rPr>
          <w:i/>
          <w:iCs/>
        </w:rPr>
        <w:instrText xml:space="preserve"> \* MERGEFORMAT </w:instrText>
      </w:r>
      <w:r w:rsidR="00225570" w:rsidRPr="00225570">
        <w:rPr>
          <w:i/>
          <w:iCs/>
        </w:rPr>
      </w:r>
      <w:r w:rsidR="00225570" w:rsidRPr="00225570">
        <w:rPr>
          <w:i/>
          <w:iCs/>
        </w:rPr>
        <w:fldChar w:fldCharType="separate"/>
      </w:r>
      <w:r w:rsidR="00040CA9" w:rsidRPr="00225570">
        <w:rPr>
          <w:i/>
          <w:iCs/>
          <w:szCs w:val="24"/>
        </w:rPr>
        <w:t xml:space="preserve">Figure </w:t>
      </w:r>
      <w:r w:rsidR="00040CA9">
        <w:rPr>
          <w:i/>
          <w:iCs/>
          <w:noProof/>
          <w:szCs w:val="24"/>
        </w:rPr>
        <w:t>6</w:t>
      </w:r>
      <w:r w:rsidR="00225570" w:rsidRPr="00225570">
        <w:rPr>
          <w:i/>
          <w:iCs/>
        </w:rPr>
        <w:fldChar w:fldCharType="end"/>
      </w:r>
      <w:r w:rsidRPr="00225570">
        <w:rPr>
          <w:i/>
          <w:iCs/>
        </w:rPr>
        <w:t xml:space="preserve"> </w:t>
      </w:r>
      <w:r w:rsidRPr="001C4938">
        <w:t xml:space="preserve">or directly in their figure </w:t>
      </w:r>
      <w:r w:rsidR="00BE3237">
        <w:t>4.  From the</w:t>
      </w:r>
      <w:r>
        <w:t xml:space="preserve"> data one can obtain the monolayer coverage for the pores, the volume of the pores, the parameter </w:t>
      </w:r>
      <w:r>
        <w:rPr>
          <w:i/>
          <w:iCs/>
        </w:rPr>
        <w:t>E</w:t>
      </w:r>
      <w:r w:rsidRPr="00CE6E47">
        <w:rPr>
          <w:vertAlign w:val="subscript"/>
        </w:rPr>
        <w:t>a</w:t>
      </w:r>
      <w:r>
        <w:t xml:space="preserve"> and the external monolayer equivalence:</w:t>
      </w:r>
    </w:p>
    <w:p w14:paraId="630445B6" w14:textId="77777777" w:rsidR="005B23A4" w:rsidRDefault="005B23A4" w:rsidP="00543A53">
      <w:pPr>
        <w:pStyle w:val="NoSpacing"/>
      </w:pPr>
    </w:p>
    <w:p w14:paraId="2D490249" w14:textId="3C0CB568" w:rsidR="00C0730F" w:rsidRPr="00292B01" w:rsidRDefault="00C0730F" w:rsidP="005B23A4">
      <w:pPr>
        <w:pStyle w:val="NoSpacing"/>
        <w:numPr>
          <w:ilvl w:val="0"/>
          <w:numId w:val="23"/>
        </w:numPr>
      </w:pPr>
      <w:r>
        <w:rPr>
          <w:i/>
          <w:iCs/>
        </w:rPr>
        <w:t>n</w:t>
      </w:r>
      <w:r w:rsidRPr="00CE6E47">
        <w:rPr>
          <w:vertAlign w:val="subscript"/>
        </w:rPr>
        <w:t>m</w:t>
      </w:r>
      <w:r>
        <w:t xml:space="preserve"> = 8.25 </w:t>
      </w:r>
      <w:r>
        <w:rPr>
          <w:rFonts w:cs="Times New Roman"/>
        </w:rPr>
        <w:t>±</w:t>
      </w:r>
      <w:r>
        <w:t xml:space="preserve"> 0.019</w:t>
      </w:r>
      <w:r w:rsidR="00CB151F" w:rsidRPr="00292B01">
        <w:t xml:space="preserve"> </w:t>
      </w:r>
      <w:r w:rsidR="00CB151F">
        <w:t>mmol g</w:t>
      </w:r>
      <w:r w:rsidR="00CB151F" w:rsidRPr="00292B01">
        <w:rPr>
          <w:vertAlign w:val="superscript"/>
        </w:rPr>
        <w:t>-1</w:t>
      </w:r>
      <w:r>
        <w:t xml:space="preserve"> (0.24 % </w:t>
      </w:r>
      <w:r w:rsidR="00DA7F1C">
        <w:t>FDR</w:t>
      </w:r>
      <w:r>
        <w:t>)</w:t>
      </w:r>
    </w:p>
    <w:p w14:paraId="64E988B4" w14:textId="77777777" w:rsidR="00C0730F" w:rsidRDefault="00C0730F" w:rsidP="005B23A4">
      <w:pPr>
        <w:pStyle w:val="NoSpacing"/>
        <w:numPr>
          <w:ilvl w:val="0"/>
          <w:numId w:val="23"/>
        </w:numPr>
      </w:pPr>
      <w:r w:rsidRPr="00CE6E47">
        <w:rPr>
          <w:rFonts w:cs="Times New Roman"/>
        </w:rPr>
        <w:t>χ</w:t>
      </w:r>
      <w:r w:rsidRPr="00CE6E47">
        <w:rPr>
          <w:rFonts w:cs="Times New Roman"/>
          <w:vertAlign w:val="subscript"/>
        </w:rPr>
        <w:t>ς</w:t>
      </w:r>
      <w:r>
        <w:t xml:space="preserve"> = -2.7118 </w:t>
      </w:r>
      <w:r>
        <w:rPr>
          <w:rFonts w:cs="Times New Roman"/>
        </w:rPr>
        <w:t xml:space="preserve">→ </w:t>
      </w:r>
      <w:r w:rsidRPr="00CE6E47">
        <w:rPr>
          <w:i/>
          <w:iCs/>
        </w:rPr>
        <w:t>E</w:t>
      </w:r>
      <w:r w:rsidRPr="00292B01">
        <w:rPr>
          <w:vertAlign w:val="subscript"/>
        </w:rPr>
        <w:t>a</w:t>
      </w:r>
      <w:r>
        <w:t xml:space="preserve"> = -9.76 kJ mol</w:t>
      </w:r>
      <w:r w:rsidRPr="00292B01">
        <w:rPr>
          <w:vertAlign w:val="superscript"/>
        </w:rPr>
        <w:t>-1</w:t>
      </w:r>
    </w:p>
    <w:p w14:paraId="6E2E4797" w14:textId="74261366" w:rsidR="00C0730F" w:rsidRDefault="00C0730F" w:rsidP="005B23A4">
      <w:pPr>
        <w:pStyle w:val="NoSpacing"/>
        <w:numPr>
          <w:ilvl w:val="0"/>
          <w:numId w:val="23"/>
        </w:numPr>
      </w:pPr>
      <w:r>
        <w:rPr>
          <w:i/>
          <w:iCs/>
        </w:rPr>
        <w:t>n</w:t>
      </w:r>
      <w:r w:rsidRPr="00292B01">
        <w:rPr>
          <w:vertAlign w:val="subscript"/>
        </w:rPr>
        <w:t>pore</w:t>
      </w:r>
      <w:r>
        <w:t xml:space="preserve"> = 6.91 </w:t>
      </w:r>
      <w:r>
        <w:rPr>
          <w:rFonts w:cs="Times New Roman"/>
        </w:rPr>
        <w:t>±</w:t>
      </w:r>
      <w:r>
        <w:t xml:space="preserve"> .028</w:t>
      </w:r>
      <w:r w:rsidR="00CB151F" w:rsidRPr="00292B01">
        <w:t xml:space="preserve"> </w:t>
      </w:r>
      <w:r w:rsidR="00CB151F">
        <w:t>mmol g</w:t>
      </w:r>
      <w:r w:rsidR="00CB151F" w:rsidRPr="00292B01">
        <w:rPr>
          <w:vertAlign w:val="superscript"/>
        </w:rPr>
        <w:t>-1</w:t>
      </w:r>
      <w:r>
        <w:t xml:space="preserve"> (0.34 % </w:t>
      </w:r>
      <w:r w:rsidR="00DA7F1C">
        <w:t>FDR</w:t>
      </w:r>
      <w:r>
        <w:t xml:space="preserve">) </w:t>
      </w:r>
    </w:p>
    <w:p w14:paraId="5067591F" w14:textId="73C32923" w:rsidR="005B23A4" w:rsidRDefault="00C0730F" w:rsidP="00DA7F1C">
      <w:pPr>
        <w:pStyle w:val="NoSpacing"/>
        <w:numPr>
          <w:ilvl w:val="0"/>
          <w:numId w:val="23"/>
        </w:numPr>
      </w:pPr>
      <w:proofErr w:type="gramStart"/>
      <w:r w:rsidRPr="00292B01">
        <w:rPr>
          <w:i/>
          <w:iCs/>
        </w:rPr>
        <w:t>n</w:t>
      </w:r>
      <w:r w:rsidRPr="00292B01">
        <w:rPr>
          <w:vertAlign w:val="subscript"/>
        </w:rPr>
        <w:t>m,ext</w:t>
      </w:r>
      <w:proofErr w:type="gramEnd"/>
      <w:r w:rsidRPr="00292B01">
        <w:t xml:space="preserve"> = 0.26 </w:t>
      </w:r>
      <w:r>
        <w:rPr>
          <w:rFonts w:cs="Times New Roman"/>
        </w:rPr>
        <w:t>±</w:t>
      </w:r>
      <w:r>
        <w:t xml:space="preserve"> .0077</w:t>
      </w:r>
      <w:r w:rsidR="00CB151F" w:rsidRPr="00292B01">
        <w:t xml:space="preserve"> </w:t>
      </w:r>
      <w:r w:rsidR="00CB151F">
        <w:t>mmol g</w:t>
      </w:r>
      <w:r w:rsidR="00CB151F" w:rsidRPr="00292B01">
        <w:rPr>
          <w:vertAlign w:val="superscript"/>
        </w:rPr>
        <w:t>-1</w:t>
      </w:r>
      <w:r>
        <w:t xml:space="preserve"> (0.094 % </w:t>
      </w:r>
      <w:r w:rsidR="00DA7F1C">
        <w:t>FDR</w:t>
      </w:r>
      <w:r>
        <w:t>)</w:t>
      </w:r>
    </w:p>
    <w:p w14:paraId="0D46C793" w14:textId="77777777" w:rsidR="00DA7F1C" w:rsidRDefault="00DA7F1C" w:rsidP="00DA7F1C">
      <w:pPr>
        <w:pStyle w:val="NoSpacing"/>
      </w:pPr>
    </w:p>
    <w:p w14:paraId="6542DD3B" w14:textId="29255612" w:rsidR="00C0730F" w:rsidRDefault="00C0730F" w:rsidP="00543A53">
      <w:pPr>
        <w:pStyle w:val="NoSpacing"/>
      </w:pPr>
      <w:r>
        <w:t xml:space="preserve">By the self-imposed criteria of </w:t>
      </w:r>
      <w:r>
        <w:rPr>
          <w:rFonts w:cs="Times New Roman"/>
        </w:rPr>
        <w:t xml:space="preserve">σ &lt; 1 % full range </w:t>
      </w:r>
      <w:r>
        <w:t>used for QM</w:t>
      </w:r>
      <w:r w:rsidR="00167FBA">
        <w:rPr>
          <w:rFonts w:cs="Times New Roman"/>
        </w:rPr>
        <w:t>/ESW</w:t>
      </w:r>
      <w:r>
        <w:t xml:space="preserve"> fits, these values of 0.24 % are relatively precise.</w:t>
      </w:r>
    </w:p>
    <w:p w14:paraId="512E0D14" w14:textId="77777777" w:rsidR="00845C16" w:rsidRDefault="00845C16" w:rsidP="00543A53">
      <w:pPr>
        <w:pStyle w:val="NoSpacing"/>
      </w:pPr>
    </w:p>
    <w:tbl>
      <w:tblPr>
        <w:tblStyle w:val="TableGrid"/>
        <w:tblW w:w="0" w:type="auto"/>
        <w:tblLook w:val="04A0" w:firstRow="1" w:lastRow="0" w:firstColumn="1" w:lastColumn="0" w:noHBand="0" w:noVBand="1"/>
      </w:tblPr>
      <w:tblGrid>
        <w:gridCol w:w="9350"/>
      </w:tblGrid>
      <w:tr w:rsidR="00845C16" w14:paraId="0B33BB36" w14:textId="77777777" w:rsidTr="00845C16">
        <w:tc>
          <w:tcPr>
            <w:tcW w:w="9350" w:type="dxa"/>
          </w:tcPr>
          <w:p w14:paraId="6EB8AC1A" w14:textId="77777777" w:rsidR="00845C16" w:rsidRDefault="00845C16" w:rsidP="00543A53">
            <w:pPr>
              <w:pStyle w:val="NoSpacing"/>
            </w:pPr>
            <w:r>
              <w:rPr>
                <w:noProof/>
              </w:rPr>
              <w:drawing>
                <wp:inline distT="0" distB="0" distL="0" distR="0" wp14:anchorId="624AFA78" wp14:editId="7177B8BD">
                  <wp:extent cx="5791200" cy="1962785"/>
                  <wp:effectExtent l="0" t="0" r="0" b="0"/>
                  <wp:docPr id="1918596263" name="Picture 1918596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9">
                            <a:extLst>
                              <a:ext uri="{28A0092B-C50C-407E-A947-70E740481C1C}">
                                <a14:useLocalDpi xmlns:a14="http://schemas.microsoft.com/office/drawing/2010/main" val="0"/>
                              </a:ext>
                            </a:extLst>
                          </a:blip>
                          <a:stretch>
                            <a:fillRect/>
                          </a:stretch>
                        </pic:blipFill>
                        <pic:spPr>
                          <a:xfrm>
                            <a:off x="0" y="0"/>
                            <a:ext cx="5791200" cy="1962785"/>
                          </a:xfrm>
                          <a:prstGeom prst="rect">
                            <a:avLst/>
                          </a:prstGeom>
                        </pic:spPr>
                      </pic:pic>
                    </a:graphicData>
                  </a:graphic>
                </wp:inline>
              </w:drawing>
            </w:r>
          </w:p>
          <w:p w14:paraId="3DAF5A9B" w14:textId="11347095" w:rsidR="00845C16" w:rsidRPr="00225570" w:rsidRDefault="00845C16" w:rsidP="00543A53">
            <w:pPr>
              <w:pStyle w:val="NoSpacing"/>
              <w:rPr>
                <w:i/>
                <w:iCs/>
                <w:szCs w:val="24"/>
              </w:rPr>
            </w:pPr>
            <w:bookmarkStart w:id="40" w:name="_Ref169171730"/>
            <w:r w:rsidRPr="00225570">
              <w:rPr>
                <w:i/>
                <w:iCs/>
                <w:szCs w:val="24"/>
              </w:rPr>
              <w:t xml:space="preserve">Figure </w:t>
            </w:r>
            <w:r w:rsidRPr="00225570">
              <w:rPr>
                <w:i/>
                <w:iCs/>
                <w:szCs w:val="24"/>
              </w:rPr>
              <w:fldChar w:fldCharType="begin"/>
            </w:r>
            <w:r w:rsidRPr="00225570">
              <w:rPr>
                <w:i/>
                <w:iCs/>
                <w:szCs w:val="24"/>
              </w:rPr>
              <w:instrText xml:space="preserve"> SEQ Figure \* ARABIC </w:instrText>
            </w:r>
            <w:r w:rsidRPr="00225570">
              <w:rPr>
                <w:i/>
                <w:iCs/>
                <w:szCs w:val="24"/>
              </w:rPr>
              <w:fldChar w:fldCharType="separate"/>
            </w:r>
            <w:r w:rsidR="00040CA9">
              <w:rPr>
                <w:i/>
                <w:iCs/>
                <w:noProof/>
                <w:szCs w:val="24"/>
              </w:rPr>
              <w:t>6</w:t>
            </w:r>
            <w:r w:rsidRPr="00225570">
              <w:rPr>
                <w:i/>
                <w:iCs/>
                <w:szCs w:val="24"/>
              </w:rPr>
              <w:fldChar w:fldCharType="end"/>
            </w:r>
            <w:bookmarkEnd w:id="40"/>
            <w:r w:rsidRPr="00225570">
              <w:rPr>
                <w:i/>
                <w:iCs/>
                <w:szCs w:val="24"/>
              </w:rPr>
              <w:t xml:space="preserve"> Date by Nguyen and Du of nitrogen adsorbed on microporous carbon.  The grey line in the log-law fit (1st layer) the black line in the Δχ plot is the external area line.  The vertical line in the log-law plot is approximately where the external line </w:t>
            </w:r>
            <w:proofErr w:type="gramStart"/>
            <w:r w:rsidRPr="00225570">
              <w:rPr>
                <w:i/>
                <w:iCs/>
                <w:szCs w:val="24"/>
              </w:rPr>
              <w:t>fit</w:t>
            </w:r>
            <w:proofErr w:type="gramEnd"/>
            <w:r w:rsidR="005B23A4" w:rsidRPr="00225570">
              <w:rPr>
                <w:i/>
                <w:iCs/>
                <w:szCs w:val="24"/>
              </w:rPr>
              <w:t>.  Used by permission from Elsevier Publishers.</w:t>
            </w:r>
          </w:p>
        </w:tc>
      </w:tr>
    </w:tbl>
    <w:p w14:paraId="5AA1C45B" w14:textId="77777777" w:rsidR="00C0730F" w:rsidRDefault="00C0730F" w:rsidP="00543A53">
      <w:pPr>
        <w:pStyle w:val="NoSpacing"/>
      </w:pPr>
    </w:p>
    <w:p w14:paraId="0AF6CAAD" w14:textId="699A1186" w:rsidR="00845C16" w:rsidRDefault="00845C16" w:rsidP="00543A53">
      <w:pPr>
        <w:pStyle w:val="NoSpacing"/>
      </w:pPr>
      <w:r>
        <w:t>In the graph</w:t>
      </w:r>
      <w:r w:rsidR="00132AD9">
        <w:t xml:space="preserve"> on the left,</w:t>
      </w:r>
      <w:r>
        <w:t xml:space="preserve"> there appears to be a very slight start of the 2</w:t>
      </w:r>
      <w:r w:rsidRPr="008424CE">
        <w:rPr>
          <w:vertAlign w:val="superscript"/>
        </w:rPr>
        <w:t>nd</w:t>
      </w:r>
      <w:r>
        <w:t xml:space="preserve"> layer, which does not form fully due to the lemma that the first layer must be complete </w:t>
      </w:r>
      <w:r w:rsidR="00EC00B5">
        <w:t>even at the expense of an already forming 2</w:t>
      </w:r>
      <w:r w:rsidR="00EC00B5" w:rsidRPr="00EC00B5">
        <w:rPr>
          <w:vertAlign w:val="superscript"/>
        </w:rPr>
        <w:t>nd</w:t>
      </w:r>
      <w:r w:rsidR="00EC00B5">
        <w:t xml:space="preserve"> layer </w:t>
      </w:r>
      <w:r>
        <w:t>if need be.</w:t>
      </w:r>
      <w:r w:rsidR="00EC00B5">
        <w:t xml:space="preserve">  This is referred to as cannibalization.</w:t>
      </w:r>
      <w:r>
        <w:t xml:space="preserve">  However</w:t>
      </w:r>
      <w:r w:rsidR="00C0730F">
        <w:t>,</w:t>
      </w:r>
      <w:r>
        <w:t xml:space="preserve"> </w:t>
      </w:r>
      <w:r w:rsidR="00EC00B5">
        <w:t xml:space="preserve">in this case, </w:t>
      </w:r>
      <w:r>
        <w:t xml:space="preserve">there is not a long enough linear portion at the beginning of the </w:t>
      </w:r>
      <w:r>
        <w:rPr>
          <w:rFonts w:cs="Times New Roman"/>
        </w:rPr>
        <w:t>Δχ</w:t>
      </w:r>
      <w:r>
        <w:t xml:space="preserve"> plot to be certain of this conclusion.</w:t>
      </w:r>
      <w:r w:rsidR="007959AB">
        <w:t xml:space="preserve">  Never-the-less, the point of the threshold pressure is clearly demonstrated.</w:t>
      </w:r>
    </w:p>
    <w:p w14:paraId="09873F16" w14:textId="77777777" w:rsidR="005B23A4" w:rsidRDefault="007959AB" w:rsidP="00543A53">
      <w:pPr>
        <w:pStyle w:val="NoSpacing"/>
      </w:pPr>
      <w:r>
        <w:t>The next few examples are from work by the Oak Ridge DO</w:t>
      </w:r>
      <w:r w:rsidR="00F321B7">
        <w:t>E</w:t>
      </w:r>
      <w:r>
        <w:t xml:space="preserve"> Analytical </w:t>
      </w:r>
      <w:r w:rsidR="00F321B7">
        <w:t>Divisions</w:t>
      </w:r>
      <w:r>
        <w:t>.</w:t>
      </w:r>
    </w:p>
    <w:p w14:paraId="2736935A" w14:textId="77777777" w:rsidR="005B23A4" w:rsidRDefault="005B23A4" w:rsidP="00543A53">
      <w:pPr>
        <w:pStyle w:val="NoSpacing"/>
      </w:pPr>
    </w:p>
    <w:p w14:paraId="3A5789D9" w14:textId="3FA7522C" w:rsidR="007959AB" w:rsidRDefault="007959AB" w:rsidP="004859EA">
      <w:pPr>
        <w:pStyle w:val="NoSpacing"/>
        <w:outlineLvl w:val="1"/>
      </w:pPr>
      <w:bookmarkStart w:id="41" w:name="_Toc171582138"/>
      <w:r>
        <w:rPr>
          <w:i/>
          <w:iCs/>
        </w:rPr>
        <w:t xml:space="preserve">Example </w:t>
      </w:r>
      <w:r w:rsidR="00ED7F54">
        <w:rPr>
          <w:i/>
          <w:iCs/>
        </w:rPr>
        <w:t>4</w:t>
      </w:r>
      <w:r>
        <w:rPr>
          <w:i/>
          <w:iCs/>
        </w:rPr>
        <w:t xml:space="preserve">) </w:t>
      </w:r>
      <w:r w:rsidRPr="007959AB">
        <w:rPr>
          <w:i/>
          <w:iCs/>
        </w:rPr>
        <w:t>Thompson’s hydrogen cleaned diamond data</w:t>
      </w:r>
      <w:r>
        <w:t>.</w:t>
      </w:r>
      <w:bookmarkEnd w:id="41"/>
    </w:p>
    <w:p w14:paraId="1A963600" w14:textId="77777777" w:rsidR="005B23A4" w:rsidRDefault="005B23A4" w:rsidP="00543A53">
      <w:pPr>
        <w:pStyle w:val="NoSpacing"/>
      </w:pPr>
    </w:p>
    <w:p w14:paraId="4B5025D8" w14:textId="6172445F" w:rsidR="007959AB" w:rsidRDefault="007959AB" w:rsidP="00543A53">
      <w:pPr>
        <w:pStyle w:val="NoSpacing"/>
      </w:pPr>
      <w:r>
        <w:t>Data by Thompson</w:t>
      </w:r>
      <w:r>
        <w:rPr>
          <w:rStyle w:val="EndnoteReference"/>
        </w:rPr>
        <w:endnoteReference w:id="36"/>
      </w:r>
      <w:r>
        <w:t xml:space="preserve"> on hydrogen cleaned diamond</w:t>
      </w:r>
      <w:r w:rsidR="00EC00B5">
        <w:t xml:space="preserve"> is presented</w:t>
      </w:r>
      <w:r>
        <w:t xml:space="preserve">.  The original purpose of this research was to characterize synthetic diamond powders.  The most prevalent surface contamination on diamond </w:t>
      </w:r>
      <w:r w:rsidR="00B65961">
        <w:t>surfaces</w:t>
      </w:r>
      <w:r>
        <w:t xml:space="preserve"> is graphite.  To eliminate the graphite without destroying the diamond, one heats it in a low pressure of hydrogen gas.  This research was done to optimize the conditions to create a clean surface.  Using natural diamond powders as a standard, he observed the startling result, that is, the observation of the threshold pressure.  The results of argon adsorption are in </w:t>
      </w:r>
      <w:r w:rsidR="00225570" w:rsidRPr="00225570">
        <w:rPr>
          <w:i/>
          <w:iCs/>
        </w:rPr>
        <w:fldChar w:fldCharType="begin"/>
      </w:r>
      <w:r w:rsidR="00225570" w:rsidRPr="00225570">
        <w:rPr>
          <w:i/>
          <w:iCs/>
        </w:rPr>
        <w:instrText xml:space="preserve"> REF _Ref169171858 \h </w:instrText>
      </w:r>
      <w:r w:rsidR="00225570">
        <w:rPr>
          <w:i/>
          <w:iCs/>
        </w:rPr>
        <w:instrText xml:space="preserve"> \* MERGEFORMAT </w:instrText>
      </w:r>
      <w:r w:rsidR="00225570" w:rsidRPr="00225570">
        <w:rPr>
          <w:i/>
          <w:iCs/>
        </w:rPr>
      </w:r>
      <w:r w:rsidR="00225570" w:rsidRPr="00225570">
        <w:rPr>
          <w:i/>
          <w:iCs/>
        </w:rPr>
        <w:fldChar w:fldCharType="separate"/>
      </w:r>
      <w:r w:rsidR="00040CA9" w:rsidRPr="00225570">
        <w:rPr>
          <w:i/>
          <w:iCs/>
          <w:szCs w:val="24"/>
        </w:rPr>
        <w:t xml:space="preserve">Figure </w:t>
      </w:r>
      <w:r w:rsidR="00040CA9">
        <w:rPr>
          <w:i/>
          <w:iCs/>
          <w:noProof/>
          <w:szCs w:val="24"/>
        </w:rPr>
        <w:t>7</w:t>
      </w:r>
      <w:r w:rsidR="00225570" w:rsidRPr="00225570">
        <w:rPr>
          <w:i/>
          <w:iCs/>
        </w:rPr>
        <w:fldChar w:fldCharType="end"/>
      </w:r>
      <w:r>
        <w:t>.</w:t>
      </w:r>
      <w:r w:rsidR="00180ABE">
        <w:t xml:space="preserve">  Here the measurements were </w:t>
      </w:r>
      <w:r w:rsidR="00A31A88">
        <w:t>specifically</w:t>
      </w:r>
      <w:r w:rsidR="00180ABE">
        <w:t xml:space="preserve"> started in the</w:t>
      </w:r>
      <w:r w:rsidR="00A31A88">
        <w:t xml:space="preserve"> UHV region.</w:t>
      </w:r>
    </w:p>
    <w:p w14:paraId="2632BB67" w14:textId="77777777" w:rsidR="005B23A4" w:rsidRDefault="005B23A4" w:rsidP="00543A53">
      <w:pPr>
        <w:pStyle w:val="NoSpacing"/>
      </w:pPr>
    </w:p>
    <w:p w14:paraId="5CC8AB68" w14:textId="364BBAAF" w:rsidR="00C0730F" w:rsidRDefault="00C0730F" w:rsidP="00543A53">
      <w:pPr>
        <w:pStyle w:val="NoSpacing"/>
        <w:rPr>
          <w:i/>
          <w:iCs/>
          <w:szCs w:val="24"/>
        </w:rPr>
      </w:pPr>
      <w:r>
        <w:rPr>
          <w:szCs w:val="24"/>
        </w:rPr>
        <w:t>Notice</w:t>
      </w:r>
      <w:r w:rsidRPr="001C4938">
        <w:rPr>
          <w:szCs w:val="24"/>
        </w:rPr>
        <w:t xml:space="preserve">, the threshold pressure is in the low-pressure range at about </w:t>
      </w:r>
      <w:r>
        <w:rPr>
          <w:szCs w:val="24"/>
        </w:rPr>
        <w:t>6.2 </w:t>
      </w:r>
      <w:r>
        <w:rPr>
          <w:rFonts w:cs="Times New Roman"/>
          <w:szCs w:val="24"/>
        </w:rPr>
        <w:t>× </w:t>
      </w:r>
      <w:r>
        <w:rPr>
          <w:szCs w:val="24"/>
        </w:rPr>
        <w:t>10</w:t>
      </w:r>
      <w:r w:rsidRPr="002A1CC4">
        <w:rPr>
          <w:szCs w:val="24"/>
          <w:vertAlign w:val="superscript"/>
        </w:rPr>
        <w:t>-4</w:t>
      </w:r>
      <w:r>
        <w:rPr>
          <w:szCs w:val="24"/>
        </w:rPr>
        <w:t xml:space="preserve"> bar or 0.47 torr</w:t>
      </w:r>
      <w:r w:rsidRPr="001C4938">
        <w:rPr>
          <w:szCs w:val="24"/>
        </w:rPr>
        <w:t>.  This could be observed by almost any commercial instrument</w:t>
      </w:r>
      <w:r>
        <w:rPr>
          <w:szCs w:val="24"/>
        </w:rPr>
        <w:t>. However,</w:t>
      </w:r>
      <w:r w:rsidRPr="001C4938">
        <w:rPr>
          <w:szCs w:val="24"/>
        </w:rPr>
        <w:t xml:space="preserve"> the cleaning process is </w:t>
      </w:r>
      <w:r w:rsidR="00B65961" w:rsidRPr="001C4938">
        <w:rPr>
          <w:szCs w:val="24"/>
        </w:rPr>
        <w:t>critical,</w:t>
      </w:r>
      <w:r w:rsidRPr="001C4938">
        <w:rPr>
          <w:szCs w:val="24"/>
        </w:rPr>
        <w:t xml:space="preserve"> and the </w:t>
      </w:r>
      <w:r w:rsidR="002E2C23">
        <w:rPr>
          <w:szCs w:val="24"/>
        </w:rPr>
        <w:t xml:space="preserve">preparation </w:t>
      </w:r>
      <w:r w:rsidRPr="001C4938">
        <w:rPr>
          <w:szCs w:val="24"/>
        </w:rPr>
        <w:t xml:space="preserve">temperature is above the softening point for most glasses.  Other authors have selected another adsorption isotherm from the original publication to indicate the threshold was not present.  This latter selection was disingenuous, since it was the exception rather than the rule and probably had some residual surface graphite.  Indeed, the presence of a sharp threshold pressure became </w:t>
      </w:r>
      <w:r>
        <w:rPr>
          <w:szCs w:val="24"/>
        </w:rPr>
        <w:t xml:space="preserve">an analytical </w:t>
      </w:r>
      <w:r w:rsidRPr="001C4938">
        <w:rPr>
          <w:szCs w:val="24"/>
        </w:rPr>
        <w:t xml:space="preserve">sign that the diamond surface was graphite clean.  (The cleaning process is dependent upon the temperature and pressure used.  </w:t>
      </w:r>
      <w:r w:rsidR="00B65961" w:rsidRPr="001C4938">
        <w:rPr>
          <w:szCs w:val="24"/>
        </w:rPr>
        <w:t>At</w:t>
      </w:r>
      <w:r w:rsidRPr="001C4938">
        <w:rPr>
          <w:szCs w:val="24"/>
        </w:rPr>
        <w:t xml:space="preserve"> too high </w:t>
      </w:r>
      <w:r w:rsidR="00127E8D">
        <w:rPr>
          <w:szCs w:val="24"/>
        </w:rPr>
        <w:t xml:space="preserve">a </w:t>
      </w:r>
      <w:r w:rsidRPr="001C4938">
        <w:rPr>
          <w:szCs w:val="24"/>
        </w:rPr>
        <w:t xml:space="preserve">temperature, the surface of the diamond is graphitized </w:t>
      </w:r>
      <w:proofErr w:type="gramStart"/>
      <w:r w:rsidRPr="001C4938">
        <w:rPr>
          <w:szCs w:val="24"/>
        </w:rPr>
        <w:t>and</w:t>
      </w:r>
      <w:proofErr w:type="gramEnd"/>
      <w:r w:rsidRPr="001C4938">
        <w:rPr>
          <w:szCs w:val="24"/>
        </w:rPr>
        <w:t xml:space="preserve"> too low a temperature the graphite is not converted to methane fast enough.  Thus, it is a balancing act to obtain the right conditions.)  </w:t>
      </w:r>
    </w:p>
    <w:p w14:paraId="196489C1" w14:textId="77777777" w:rsidR="00C0730F" w:rsidRDefault="00C0730F" w:rsidP="00543A53">
      <w:pPr>
        <w:pStyle w:val="NoSpacing"/>
      </w:pPr>
    </w:p>
    <w:tbl>
      <w:tblPr>
        <w:tblStyle w:val="TableGrid"/>
        <w:tblW w:w="0" w:type="auto"/>
        <w:tblInd w:w="625" w:type="dxa"/>
        <w:tblBorders>
          <w:insideH w:val="none" w:sz="0" w:space="0" w:color="auto"/>
          <w:insideV w:val="none" w:sz="0" w:space="0" w:color="auto"/>
        </w:tblBorders>
        <w:tblLook w:val="04A0" w:firstRow="1" w:lastRow="0" w:firstColumn="1" w:lastColumn="0" w:noHBand="0" w:noVBand="1"/>
      </w:tblPr>
      <w:tblGrid>
        <w:gridCol w:w="8725"/>
      </w:tblGrid>
      <w:tr w:rsidR="007959AB" w14:paraId="254BC54A" w14:textId="77777777" w:rsidTr="00E151A4">
        <w:tc>
          <w:tcPr>
            <w:tcW w:w="8725"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6"/>
            </w:tblGrid>
            <w:tr w:rsidR="007959AB" w14:paraId="0F3CDF87" w14:textId="77777777" w:rsidTr="008E3463">
              <w:trPr>
                <w:jc w:val="center"/>
              </w:trPr>
              <w:tc>
                <w:tcPr>
                  <w:tcW w:w="6966" w:type="dxa"/>
                  <w:vAlign w:val="center"/>
                </w:tcPr>
                <w:p w14:paraId="410563D7" w14:textId="77777777" w:rsidR="007959AB" w:rsidRDefault="007959AB" w:rsidP="00543A53">
                  <w:pPr>
                    <w:pStyle w:val="NoSpacing"/>
                  </w:pPr>
                  <w:r>
                    <w:rPr>
                      <w:noProof/>
                    </w:rPr>
                    <w:drawing>
                      <wp:inline distT="0" distB="0" distL="0" distR="0" wp14:anchorId="18F72120" wp14:editId="5BBE82D8">
                        <wp:extent cx="4562475" cy="320929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0">
                                  <a:extLst>
                                    <a:ext uri="{28A0092B-C50C-407E-A947-70E740481C1C}">
                                      <a14:useLocalDpi xmlns:a14="http://schemas.microsoft.com/office/drawing/2010/main" val="0"/>
                                    </a:ext>
                                  </a:extLst>
                                </a:blip>
                                <a:stretch>
                                  <a:fillRect/>
                                </a:stretch>
                              </pic:blipFill>
                              <pic:spPr>
                                <a:xfrm>
                                  <a:off x="0" y="0"/>
                                  <a:ext cx="4575838" cy="3218690"/>
                                </a:xfrm>
                                <a:prstGeom prst="rect">
                                  <a:avLst/>
                                </a:prstGeom>
                              </pic:spPr>
                            </pic:pic>
                          </a:graphicData>
                        </a:graphic>
                      </wp:inline>
                    </w:drawing>
                  </w:r>
                </w:p>
                <w:p w14:paraId="06D407D3" w14:textId="0930DAF5" w:rsidR="007959AB" w:rsidRPr="00225570" w:rsidRDefault="007959AB" w:rsidP="00543A53">
                  <w:pPr>
                    <w:pStyle w:val="NoSpacing"/>
                    <w:rPr>
                      <w:i/>
                      <w:iCs/>
                    </w:rPr>
                  </w:pPr>
                  <w:bookmarkStart w:id="42" w:name="_Ref169171858"/>
                  <w:r w:rsidRPr="00225570">
                    <w:rPr>
                      <w:i/>
                      <w:iCs/>
                      <w:szCs w:val="24"/>
                    </w:rPr>
                    <w:t xml:space="preserve">Figure </w:t>
                  </w:r>
                  <w:r w:rsidRPr="00225570">
                    <w:rPr>
                      <w:i/>
                      <w:iCs/>
                      <w:szCs w:val="24"/>
                    </w:rPr>
                    <w:fldChar w:fldCharType="begin"/>
                  </w:r>
                  <w:r w:rsidRPr="00225570">
                    <w:rPr>
                      <w:i/>
                      <w:iCs/>
                      <w:szCs w:val="24"/>
                    </w:rPr>
                    <w:instrText xml:space="preserve"> SEQ Figure \* ARABIC </w:instrText>
                  </w:r>
                  <w:r w:rsidRPr="00225570">
                    <w:rPr>
                      <w:i/>
                      <w:iCs/>
                      <w:szCs w:val="24"/>
                    </w:rPr>
                    <w:fldChar w:fldCharType="separate"/>
                  </w:r>
                  <w:r w:rsidR="00040CA9">
                    <w:rPr>
                      <w:i/>
                      <w:iCs/>
                      <w:noProof/>
                      <w:szCs w:val="24"/>
                    </w:rPr>
                    <w:t>7</w:t>
                  </w:r>
                  <w:r w:rsidRPr="00225570">
                    <w:rPr>
                      <w:i/>
                      <w:iCs/>
                      <w:szCs w:val="24"/>
                    </w:rPr>
                    <w:fldChar w:fldCharType="end"/>
                  </w:r>
                  <w:bookmarkEnd w:id="42"/>
                  <w:r w:rsidRPr="00225570">
                    <w:rPr>
                      <w:i/>
                      <w:iCs/>
                      <w:szCs w:val="24"/>
                    </w:rPr>
                    <w:t xml:space="preserve"> Data by Thompson of argon adsorbed on hydrogen cleaned diamond powder</w:t>
                  </w:r>
                  <w:r w:rsidR="005B23A4" w:rsidRPr="00225570">
                    <w:rPr>
                      <w:i/>
                      <w:iCs/>
                      <w:szCs w:val="24"/>
                    </w:rPr>
                    <w:t>.  From open US DOE sources.</w:t>
                  </w:r>
                </w:p>
              </w:tc>
            </w:tr>
          </w:tbl>
          <w:p w14:paraId="2D580886" w14:textId="77777777" w:rsidR="007959AB" w:rsidRDefault="007959AB" w:rsidP="00543A53">
            <w:pPr>
              <w:pStyle w:val="NoSpacing"/>
            </w:pPr>
          </w:p>
        </w:tc>
      </w:tr>
      <w:tr w:rsidR="007959AB" w14:paraId="2EB80973" w14:textId="77777777" w:rsidTr="00E151A4">
        <w:tc>
          <w:tcPr>
            <w:tcW w:w="8725" w:type="dxa"/>
          </w:tcPr>
          <w:p w14:paraId="66DC5BBB" w14:textId="77777777" w:rsidR="007959AB" w:rsidRPr="00EF1A10" w:rsidRDefault="007959AB" w:rsidP="00543A53">
            <w:pPr>
              <w:pStyle w:val="NoSpacing"/>
              <w:rPr>
                <w:color w:val="000000" w:themeColor="text1"/>
                <w:szCs w:val="24"/>
              </w:rPr>
            </w:pPr>
          </w:p>
        </w:tc>
      </w:tr>
    </w:tbl>
    <w:p w14:paraId="654F458F" w14:textId="77777777" w:rsidR="00B64790" w:rsidRDefault="00B64790" w:rsidP="00543A53">
      <w:pPr>
        <w:pStyle w:val="NoSpacing"/>
        <w:rPr>
          <w:i/>
          <w:iCs/>
          <w:szCs w:val="24"/>
        </w:rPr>
      </w:pPr>
    </w:p>
    <w:p w14:paraId="2D2C756A" w14:textId="63BC1CB1" w:rsidR="007959AB" w:rsidRDefault="00A31A88" w:rsidP="00543A53">
      <w:pPr>
        <w:pStyle w:val="NoSpacing"/>
        <w:rPr>
          <w:szCs w:val="24"/>
        </w:rPr>
      </w:pPr>
      <w:r>
        <w:rPr>
          <w:szCs w:val="24"/>
        </w:rPr>
        <w:t>There was a very short round-off and the start of the isotherm, but j</w:t>
      </w:r>
      <w:r w:rsidR="007959AB" w:rsidRPr="001C4938">
        <w:rPr>
          <w:szCs w:val="24"/>
        </w:rPr>
        <w:t xml:space="preserve">ust because </w:t>
      </w:r>
      <w:r w:rsidR="00EC00B5">
        <w:rPr>
          <w:szCs w:val="24"/>
        </w:rPr>
        <w:t xml:space="preserve">an isotherm </w:t>
      </w:r>
      <w:r w:rsidR="007959AB" w:rsidRPr="001C4938">
        <w:rPr>
          <w:szCs w:val="24"/>
        </w:rPr>
        <w:t xml:space="preserve">has a </w:t>
      </w:r>
      <w:r w:rsidR="00EC00B5">
        <w:rPr>
          <w:szCs w:val="24"/>
        </w:rPr>
        <w:t xml:space="preserve">low-pressure </w:t>
      </w:r>
      <w:r w:rsidR="007959AB" w:rsidRPr="001C4938">
        <w:rPr>
          <w:szCs w:val="24"/>
        </w:rPr>
        <w:t>round-off is not disproof of the QM</w:t>
      </w:r>
      <w:r w:rsidR="00167FBA">
        <w:rPr>
          <w:rFonts w:cs="Times New Roman"/>
        </w:rPr>
        <w:t>/ESW</w:t>
      </w:r>
      <w:r>
        <w:rPr>
          <w:szCs w:val="24"/>
        </w:rPr>
        <w:t>, con</w:t>
      </w:r>
      <w:r w:rsidR="00EC00B5">
        <w:rPr>
          <w:szCs w:val="24"/>
        </w:rPr>
        <w:t>trary to some statements in the literature</w:t>
      </w:r>
      <w:r w:rsidR="007959AB" w:rsidRPr="001C4938">
        <w:rPr>
          <w:szCs w:val="24"/>
        </w:rPr>
        <w:t xml:space="preserve">.  </w:t>
      </w:r>
      <w:r w:rsidR="00EC00B5">
        <w:rPr>
          <w:szCs w:val="24"/>
        </w:rPr>
        <w:t>Indeed, t</w:t>
      </w:r>
      <w:r w:rsidR="007959AB" w:rsidRPr="001C4938">
        <w:rPr>
          <w:szCs w:val="24"/>
        </w:rPr>
        <w:t>he QM</w:t>
      </w:r>
      <w:r w:rsidR="00167FBA">
        <w:rPr>
          <w:rFonts w:cs="Times New Roman"/>
        </w:rPr>
        <w:t>/ESW</w:t>
      </w:r>
      <w:r w:rsidR="007959AB" w:rsidRPr="001C4938">
        <w:rPr>
          <w:szCs w:val="24"/>
        </w:rPr>
        <w:t xml:space="preserve"> predicts a round-off if the sample surface is heterogeneous, that is, it has a distribution of surface energies.  </w:t>
      </w:r>
      <w:r w:rsidR="00F321B7">
        <w:rPr>
          <w:szCs w:val="24"/>
        </w:rPr>
        <w:t xml:space="preserve">This is illustrated in </w:t>
      </w:r>
      <w:r w:rsidR="00A32ADA" w:rsidRPr="00225570">
        <w:rPr>
          <w:i/>
          <w:iCs/>
          <w:szCs w:val="24"/>
        </w:rPr>
        <w:fldChar w:fldCharType="begin"/>
      </w:r>
      <w:r w:rsidR="00A32ADA" w:rsidRPr="00225570">
        <w:rPr>
          <w:i/>
          <w:iCs/>
          <w:szCs w:val="24"/>
        </w:rPr>
        <w:instrText xml:space="preserve"> REF _Ref159694499 \h </w:instrText>
      </w:r>
      <w:r w:rsidR="00543A53" w:rsidRPr="00225570">
        <w:rPr>
          <w:i/>
          <w:iCs/>
          <w:szCs w:val="24"/>
        </w:rPr>
        <w:instrText xml:space="preserve"> \* MERGEFORMAT </w:instrText>
      </w:r>
      <w:r w:rsidR="00A32ADA" w:rsidRPr="00225570">
        <w:rPr>
          <w:i/>
          <w:iCs/>
          <w:szCs w:val="24"/>
        </w:rPr>
      </w:r>
      <w:r w:rsidR="00A32ADA" w:rsidRPr="00225570">
        <w:rPr>
          <w:i/>
          <w:iCs/>
          <w:szCs w:val="24"/>
        </w:rPr>
        <w:fldChar w:fldCharType="separate"/>
      </w:r>
      <w:r w:rsidR="00040CA9" w:rsidRPr="00040CA9">
        <w:rPr>
          <w:i/>
          <w:iCs/>
          <w:szCs w:val="24"/>
        </w:rPr>
        <w:t>Figure</w:t>
      </w:r>
      <w:r w:rsidR="00040CA9" w:rsidRPr="00040CA9">
        <w:rPr>
          <w:i/>
          <w:iCs/>
          <w:noProof/>
          <w:szCs w:val="24"/>
        </w:rPr>
        <w:t xml:space="preserve"> </w:t>
      </w:r>
      <w:r w:rsidR="00040CA9">
        <w:rPr>
          <w:i/>
          <w:iCs/>
          <w:noProof/>
        </w:rPr>
        <w:t>4</w:t>
      </w:r>
      <w:r w:rsidR="00A32ADA" w:rsidRPr="00225570">
        <w:rPr>
          <w:i/>
          <w:iCs/>
          <w:szCs w:val="24"/>
        </w:rPr>
        <w:fldChar w:fldCharType="end"/>
      </w:r>
      <w:r w:rsidR="00F321B7">
        <w:rPr>
          <w:szCs w:val="24"/>
        </w:rPr>
        <w:t xml:space="preserve">.  </w:t>
      </w:r>
      <w:r w:rsidR="007959AB" w:rsidRPr="001C4938">
        <w:rPr>
          <w:szCs w:val="24"/>
        </w:rPr>
        <w:t xml:space="preserve">Thus, a round-off is not </w:t>
      </w:r>
      <w:r w:rsidR="004859EA" w:rsidRPr="001C4938">
        <w:rPr>
          <w:szCs w:val="24"/>
        </w:rPr>
        <w:t>disproof</w:t>
      </w:r>
      <w:r w:rsidR="007959AB" w:rsidRPr="001C4938">
        <w:rPr>
          <w:szCs w:val="24"/>
        </w:rPr>
        <w:t xml:space="preserve"> of the QM</w:t>
      </w:r>
      <w:r w:rsidR="00167FBA">
        <w:rPr>
          <w:rFonts w:cs="Times New Roman"/>
        </w:rPr>
        <w:t>/ESW</w:t>
      </w:r>
      <w:r w:rsidR="007959AB">
        <w:rPr>
          <w:szCs w:val="24"/>
        </w:rPr>
        <w:t>, but rather is a sensitive indication of heterogeneity</w:t>
      </w:r>
      <w:r w:rsidR="007959AB" w:rsidRPr="001C4938">
        <w:rPr>
          <w:szCs w:val="24"/>
        </w:rPr>
        <w:t>.  Some other QM</w:t>
      </w:r>
      <w:r w:rsidR="00167FBA">
        <w:rPr>
          <w:rFonts w:cs="Times New Roman"/>
        </w:rPr>
        <w:t>/ESW</w:t>
      </w:r>
      <w:r w:rsidR="007959AB" w:rsidRPr="001C4938">
        <w:rPr>
          <w:szCs w:val="24"/>
        </w:rPr>
        <w:t xml:space="preserve"> prediction needs to be found that is incorrect to establish a disproof. </w:t>
      </w:r>
    </w:p>
    <w:p w14:paraId="0510B04D" w14:textId="77777777" w:rsidR="005B23A4" w:rsidRDefault="005B23A4" w:rsidP="00543A53">
      <w:pPr>
        <w:pStyle w:val="NoSpacing"/>
        <w:rPr>
          <w:i/>
          <w:iCs/>
          <w:szCs w:val="24"/>
        </w:rPr>
      </w:pPr>
    </w:p>
    <w:p w14:paraId="4C7BAB51" w14:textId="77777777" w:rsidR="00B65961" w:rsidRDefault="007959AB" w:rsidP="00B65961">
      <w:pPr>
        <w:pStyle w:val="NoSpacing"/>
        <w:rPr>
          <w:szCs w:val="24"/>
        </w:rPr>
      </w:pPr>
      <w:r>
        <w:rPr>
          <w:szCs w:val="24"/>
        </w:rPr>
        <w:t xml:space="preserve">On the other hand, </w:t>
      </w:r>
      <w:r w:rsidRPr="001C4938">
        <w:rPr>
          <w:szCs w:val="24"/>
        </w:rPr>
        <w:t xml:space="preserve">it only takes one verifiable threshold pressure observation to disprove the BET or any other isotherm that predicts “Henry’s law” as applied to physical adsorption.  </w:t>
      </w:r>
    </w:p>
    <w:p w14:paraId="15FA866F" w14:textId="77777777" w:rsidR="00B65961" w:rsidRDefault="00B65961" w:rsidP="00B65961">
      <w:pPr>
        <w:pStyle w:val="NoSpacing"/>
        <w:rPr>
          <w:szCs w:val="24"/>
        </w:rPr>
      </w:pPr>
    </w:p>
    <w:p w14:paraId="565CC982" w14:textId="656B736F" w:rsidR="00B65961" w:rsidRDefault="00B65961" w:rsidP="00B65961">
      <w:pPr>
        <w:pStyle w:val="NoSpacing"/>
        <w:outlineLvl w:val="2"/>
        <w:rPr>
          <w:szCs w:val="24"/>
        </w:rPr>
      </w:pPr>
      <w:bookmarkStart w:id="43" w:name="_Toc171582139"/>
      <w:r>
        <w:rPr>
          <w:szCs w:val="24"/>
        </w:rPr>
        <w:t>A second Henry’s Law test</w:t>
      </w:r>
      <w:bookmarkEnd w:id="43"/>
    </w:p>
    <w:p w14:paraId="0B573112" w14:textId="77777777" w:rsidR="00B65961" w:rsidRDefault="00B65961" w:rsidP="00543A53">
      <w:pPr>
        <w:pStyle w:val="NoSpacing"/>
        <w:rPr>
          <w:szCs w:val="24"/>
        </w:rPr>
      </w:pPr>
    </w:p>
    <w:p w14:paraId="1DA11DA8" w14:textId="04E4FB87" w:rsidR="007959AB" w:rsidRDefault="007959AB" w:rsidP="00543A53">
      <w:pPr>
        <w:pStyle w:val="NoSpacing"/>
        <w:rPr>
          <w:szCs w:val="24"/>
        </w:rPr>
      </w:pPr>
      <w:r w:rsidRPr="001C4938">
        <w:rPr>
          <w:szCs w:val="24"/>
        </w:rPr>
        <w:lastRenderedPageBreak/>
        <w:t>There is also a second test, other than the threshold pressure, to disprove “Henry’s law.”</w:t>
      </w:r>
      <w:r>
        <w:rPr>
          <w:szCs w:val="24"/>
        </w:rPr>
        <w:t xml:space="preserve">  This test</w:t>
      </w:r>
      <w:r w:rsidR="00B64790">
        <w:rPr>
          <w:szCs w:val="24"/>
        </w:rPr>
        <w:t xml:space="preserve"> overcomes the low-pressure positive curvature argument for “Henry’s” Law.  This</w:t>
      </w:r>
      <w:r>
        <w:rPr>
          <w:szCs w:val="24"/>
        </w:rPr>
        <w:t xml:space="preserve"> is illustrated in </w:t>
      </w:r>
      <w:r w:rsidR="00225570" w:rsidRPr="00225570">
        <w:rPr>
          <w:i/>
          <w:iCs/>
          <w:szCs w:val="24"/>
        </w:rPr>
        <w:fldChar w:fldCharType="begin"/>
      </w:r>
      <w:r w:rsidR="00225570" w:rsidRPr="00225570">
        <w:rPr>
          <w:i/>
          <w:iCs/>
          <w:szCs w:val="24"/>
        </w:rPr>
        <w:instrText xml:space="preserve"> REF _Ref169172124 \h </w:instrText>
      </w:r>
      <w:r w:rsidR="00225570">
        <w:rPr>
          <w:i/>
          <w:iCs/>
          <w:szCs w:val="24"/>
        </w:rPr>
        <w:instrText xml:space="preserve"> \* MERGEFORMAT </w:instrText>
      </w:r>
      <w:r w:rsidR="00225570" w:rsidRPr="00225570">
        <w:rPr>
          <w:i/>
          <w:iCs/>
          <w:szCs w:val="24"/>
        </w:rPr>
      </w:r>
      <w:r w:rsidR="00225570" w:rsidRPr="00225570">
        <w:rPr>
          <w:i/>
          <w:iCs/>
          <w:szCs w:val="24"/>
        </w:rPr>
        <w:fldChar w:fldCharType="separate"/>
      </w:r>
      <w:r w:rsidR="00040CA9" w:rsidRPr="00225570">
        <w:rPr>
          <w:i/>
          <w:iCs/>
          <w:szCs w:val="24"/>
        </w:rPr>
        <w:t xml:space="preserve">Figure </w:t>
      </w:r>
      <w:r w:rsidR="00040CA9">
        <w:rPr>
          <w:i/>
          <w:iCs/>
          <w:noProof/>
          <w:szCs w:val="24"/>
        </w:rPr>
        <w:t>8</w:t>
      </w:r>
      <w:r w:rsidR="00225570" w:rsidRPr="00225570">
        <w:rPr>
          <w:i/>
          <w:iCs/>
          <w:szCs w:val="24"/>
        </w:rPr>
        <w:fldChar w:fldCharType="end"/>
      </w:r>
      <w:r>
        <w:rPr>
          <w:szCs w:val="24"/>
        </w:rPr>
        <w:t>.  The sequence of this disproof is:</w:t>
      </w:r>
    </w:p>
    <w:p w14:paraId="14DE1189" w14:textId="77777777" w:rsidR="005B23A4" w:rsidRDefault="005B23A4" w:rsidP="00543A53">
      <w:pPr>
        <w:pStyle w:val="NoSpacing"/>
        <w:rPr>
          <w:i/>
          <w:iCs/>
          <w:szCs w:val="24"/>
        </w:rPr>
      </w:pPr>
    </w:p>
    <w:p w14:paraId="48FB67B5" w14:textId="77777777" w:rsidR="007959AB" w:rsidRDefault="007959AB" w:rsidP="00225570">
      <w:pPr>
        <w:pStyle w:val="NoSpacing"/>
        <w:numPr>
          <w:ilvl w:val="0"/>
          <w:numId w:val="26"/>
        </w:numPr>
      </w:pPr>
      <w:r>
        <w:t xml:space="preserve">Select any low-pressure point, below </w:t>
      </w:r>
      <w:r w:rsidRPr="009964ED">
        <w:rPr>
          <w:i/>
          <w:iCs/>
        </w:rPr>
        <w:t>X</w:t>
      </w:r>
      <w:r>
        <w:t xml:space="preserve"> = 0.01 if the data is available</w:t>
      </w:r>
    </w:p>
    <w:p w14:paraId="2551057C" w14:textId="77777777" w:rsidR="000C23BF" w:rsidRDefault="007959AB" w:rsidP="000C23BF">
      <w:pPr>
        <w:pStyle w:val="NoSpacing"/>
        <w:numPr>
          <w:ilvl w:val="0"/>
          <w:numId w:val="26"/>
        </w:numPr>
      </w:pPr>
      <w:r>
        <w:t xml:space="preserve">For whatever abscissa transform of </w:t>
      </w:r>
      <w:r>
        <w:rPr>
          <w:i/>
          <w:iCs/>
        </w:rPr>
        <w:t>X</w:t>
      </w:r>
      <w:r>
        <w:t xml:space="preserve"> only is used, create a straight line </w:t>
      </w:r>
      <w:r w:rsidR="00F321B7">
        <w:t xml:space="preserve">as a function </w:t>
      </w:r>
      <w:proofErr w:type="gramStart"/>
      <w:r w:rsidR="00F321B7">
        <w:t xml:space="preserve">of </w:t>
      </w:r>
      <w:r>
        <w:t xml:space="preserve"> </w:t>
      </w:r>
      <w:r w:rsidRPr="009964ED">
        <w:rPr>
          <w:i/>
          <w:iCs/>
        </w:rPr>
        <w:t>X</w:t>
      </w:r>
      <w:proofErr w:type="gramEnd"/>
      <w:r>
        <w:t xml:space="preserve"> using a single point, (</w:t>
      </w:r>
      <w:r w:rsidRPr="009964ED">
        <w:rPr>
          <w:i/>
          <w:iCs/>
        </w:rPr>
        <w:t>X</w:t>
      </w:r>
      <w:r>
        <w:t xml:space="preserve">, </w:t>
      </w:r>
      <w:r>
        <w:rPr>
          <w:i/>
          <w:iCs/>
        </w:rPr>
        <w:t>n</w:t>
      </w:r>
      <w:r w:rsidRPr="00E44DFE">
        <w:rPr>
          <w:vertAlign w:val="subscript"/>
        </w:rPr>
        <w:t>ads</w:t>
      </w:r>
      <w:r>
        <w:t>) = arbitrary, and (</w:t>
      </w:r>
      <w:r w:rsidRPr="009964ED">
        <w:rPr>
          <w:i/>
          <w:iCs/>
        </w:rPr>
        <w:t>X</w:t>
      </w:r>
      <w:r>
        <w:t xml:space="preserve">, </w:t>
      </w:r>
      <w:r>
        <w:rPr>
          <w:i/>
          <w:iCs/>
        </w:rPr>
        <w:t>n</w:t>
      </w:r>
      <w:r w:rsidRPr="00E44DFE">
        <w:rPr>
          <w:vertAlign w:val="subscript"/>
        </w:rPr>
        <w:t>ads</w:t>
      </w:r>
      <w:r>
        <w:t>) = (0,0).</w:t>
      </w:r>
    </w:p>
    <w:p w14:paraId="770826F9" w14:textId="77777777" w:rsidR="000C23BF" w:rsidRDefault="007959AB" w:rsidP="000C23BF">
      <w:pPr>
        <w:pStyle w:val="NoSpacing"/>
        <w:numPr>
          <w:ilvl w:val="0"/>
          <w:numId w:val="26"/>
        </w:numPr>
      </w:pPr>
      <w:r>
        <w:t xml:space="preserve">The line will go through only two points (unless you happened to pick the tangential point, which is then one point) one of which is the selected point.  </w:t>
      </w:r>
    </w:p>
    <w:p w14:paraId="44C74D7D" w14:textId="77777777" w:rsidR="000C23BF" w:rsidRDefault="000C23BF" w:rsidP="000C23BF">
      <w:pPr>
        <w:pStyle w:val="NoSpacing"/>
      </w:pPr>
    </w:p>
    <w:p w14:paraId="6C825658" w14:textId="0ECC0ACF" w:rsidR="00F321B7" w:rsidRDefault="007959AB" w:rsidP="000C23BF">
      <w:pPr>
        <w:pStyle w:val="NoSpacing"/>
      </w:pPr>
      <w:r>
        <w:t>Below is a graph</w:t>
      </w:r>
      <w:r w:rsidR="008F6C04">
        <w:t xml:space="preserve">, </w:t>
      </w:r>
      <w:r w:rsidR="008F6C04" w:rsidRPr="000C23BF">
        <w:rPr>
          <w:i/>
          <w:iCs/>
        </w:rPr>
        <w:t>Figure 9</w:t>
      </w:r>
      <w:r w:rsidR="008F6C04">
        <w:t>,</w:t>
      </w:r>
      <w:r>
        <w:t xml:space="preserve"> of this technique.</w:t>
      </w:r>
    </w:p>
    <w:p w14:paraId="5F376ED8" w14:textId="77777777" w:rsidR="00970B5B" w:rsidRDefault="00970B5B" w:rsidP="00543A53">
      <w:pPr>
        <w:pStyle w:val="NoSpacing"/>
      </w:pPr>
    </w:p>
    <w:tbl>
      <w:tblPr>
        <w:tblStyle w:val="TableGrid"/>
        <w:tblW w:w="0" w:type="auto"/>
        <w:tblLook w:val="04A0" w:firstRow="1" w:lastRow="0" w:firstColumn="1" w:lastColumn="0" w:noHBand="0" w:noVBand="1"/>
      </w:tblPr>
      <w:tblGrid>
        <w:gridCol w:w="9350"/>
      </w:tblGrid>
      <w:tr w:rsidR="00F321B7" w14:paraId="7C47946E" w14:textId="77777777" w:rsidTr="00F321B7">
        <w:tc>
          <w:tcPr>
            <w:tcW w:w="9350" w:type="dxa"/>
          </w:tcPr>
          <w:p w14:paraId="6CA43E7D" w14:textId="77777777" w:rsidR="00101CBA" w:rsidRDefault="00101CBA" w:rsidP="00543A53">
            <w:pPr>
              <w:pStyle w:val="NoSpacing"/>
            </w:pPr>
            <w:r>
              <w:rPr>
                <w:noProof/>
              </w:rPr>
              <w:drawing>
                <wp:inline distT="0" distB="0" distL="0" distR="0" wp14:anchorId="36AE777B" wp14:editId="5E2A6972">
                  <wp:extent cx="3894552" cy="3020026"/>
                  <wp:effectExtent l="0" t="0" r="0" b="9525"/>
                  <wp:docPr id="1290386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86282" name="Picture 1"/>
                          <pic:cNvPicPr/>
                        </pic:nvPicPr>
                        <pic:blipFill>
                          <a:blip r:embed="rId31">
                            <a:extLst>
                              <a:ext uri="{28A0092B-C50C-407E-A947-70E740481C1C}">
                                <a14:useLocalDpi xmlns:a14="http://schemas.microsoft.com/office/drawing/2010/main" val="0"/>
                              </a:ext>
                            </a:extLst>
                          </a:blip>
                          <a:stretch>
                            <a:fillRect/>
                          </a:stretch>
                        </pic:blipFill>
                        <pic:spPr>
                          <a:xfrm>
                            <a:off x="0" y="0"/>
                            <a:ext cx="3894552" cy="3020026"/>
                          </a:xfrm>
                          <a:prstGeom prst="rect">
                            <a:avLst/>
                          </a:prstGeom>
                        </pic:spPr>
                      </pic:pic>
                    </a:graphicData>
                  </a:graphic>
                </wp:inline>
              </w:drawing>
            </w:r>
          </w:p>
          <w:p w14:paraId="73FE426F" w14:textId="73086108" w:rsidR="00F321B7" w:rsidRPr="00225570" w:rsidRDefault="00101CBA" w:rsidP="00543A53">
            <w:pPr>
              <w:pStyle w:val="NoSpacing"/>
              <w:rPr>
                <w:i/>
                <w:iCs/>
                <w:szCs w:val="24"/>
              </w:rPr>
            </w:pPr>
            <w:bookmarkStart w:id="44" w:name="_Ref169172124"/>
            <w:r w:rsidRPr="00225570">
              <w:rPr>
                <w:i/>
                <w:iCs/>
                <w:szCs w:val="24"/>
              </w:rPr>
              <w:t xml:space="preserve">Figure </w:t>
            </w:r>
            <w:r w:rsidRPr="00225570">
              <w:rPr>
                <w:i/>
                <w:iCs/>
                <w:szCs w:val="24"/>
              </w:rPr>
              <w:fldChar w:fldCharType="begin"/>
            </w:r>
            <w:r w:rsidRPr="00225570">
              <w:rPr>
                <w:i/>
                <w:iCs/>
                <w:szCs w:val="24"/>
              </w:rPr>
              <w:instrText xml:space="preserve"> SEQ Figure \* ARABIC </w:instrText>
            </w:r>
            <w:r w:rsidRPr="00225570">
              <w:rPr>
                <w:i/>
                <w:iCs/>
                <w:szCs w:val="24"/>
              </w:rPr>
              <w:fldChar w:fldCharType="separate"/>
            </w:r>
            <w:r w:rsidR="00040CA9">
              <w:rPr>
                <w:i/>
                <w:iCs/>
                <w:noProof/>
                <w:szCs w:val="24"/>
              </w:rPr>
              <w:t>8</w:t>
            </w:r>
            <w:r w:rsidRPr="00225570">
              <w:rPr>
                <w:i/>
                <w:iCs/>
                <w:szCs w:val="24"/>
              </w:rPr>
              <w:fldChar w:fldCharType="end"/>
            </w:r>
            <w:bookmarkEnd w:id="44"/>
            <w:r w:rsidRPr="00225570">
              <w:rPr>
                <w:i/>
                <w:iCs/>
                <w:szCs w:val="24"/>
              </w:rPr>
              <w:t xml:space="preserve">  The test of Henry’s law for the data shown in figure </w:t>
            </w:r>
            <w:r w:rsidR="00B64790" w:rsidRPr="00225570">
              <w:rPr>
                <w:i/>
                <w:iCs/>
                <w:szCs w:val="24"/>
              </w:rPr>
              <w:t>8</w:t>
            </w:r>
            <w:r w:rsidR="00FD6041" w:rsidRPr="00225570">
              <w:rPr>
                <w:i/>
                <w:iCs/>
                <w:szCs w:val="24"/>
              </w:rPr>
              <w:t>, which is argon adsorbed on H</w:t>
            </w:r>
            <w:r w:rsidR="00FD6041" w:rsidRPr="00225570">
              <w:rPr>
                <w:i/>
                <w:iCs/>
                <w:szCs w:val="24"/>
                <w:vertAlign w:val="subscript"/>
              </w:rPr>
              <w:t>2</w:t>
            </w:r>
            <w:r w:rsidR="00FD6041" w:rsidRPr="00225570">
              <w:rPr>
                <w:i/>
                <w:iCs/>
                <w:szCs w:val="24"/>
              </w:rPr>
              <w:t xml:space="preserve"> cleaned diamond powder</w:t>
            </w:r>
            <w:r w:rsidRPr="00225570">
              <w:rPr>
                <w:i/>
                <w:iCs/>
                <w:szCs w:val="24"/>
              </w:rPr>
              <w:t>.</w:t>
            </w:r>
            <w:r w:rsidR="00B247A9" w:rsidRPr="00225570">
              <w:rPr>
                <w:i/>
                <w:iCs/>
                <w:szCs w:val="24"/>
              </w:rPr>
              <w:t xml:space="preserve">  The straight line is Henry’s law using the fourth point.  The curved line is the BET fit to the overall data.</w:t>
            </w:r>
          </w:p>
        </w:tc>
      </w:tr>
    </w:tbl>
    <w:p w14:paraId="611646C1" w14:textId="77777777" w:rsidR="00F321B7" w:rsidRDefault="00F321B7" w:rsidP="00543A53">
      <w:pPr>
        <w:pStyle w:val="NoSpacing"/>
      </w:pPr>
    </w:p>
    <w:p w14:paraId="2EA551A0" w14:textId="74EA94DC" w:rsidR="007959AB" w:rsidRDefault="007959AB" w:rsidP="00543A53">
      <w:pPr>
        <w:pStyle w:val="NoSpacing"/>
      </w:pPr>
      <w:r>
        <w:t xml:space="preserve">Notice that Henry’s law line does not line up with any points other than those mentioned above.  The low-pressure line crossing is hidden in the scale of this graph at 0.00032 bar or 0.25 torr.  For comparison, the fitted BET to the data is shown using the </w:t>
      </w:r>
      <w:r w:rsidR="008E3463">
        <w:t>“</w:t>
      </w:r>
      <w:r>
        <w:t>Rouquerol criterion</w:t>
      </w:r>
      <w:r w:rsidR="008E3463">
        <w:t>.”</w:t>
      </w:r>
      <w:r>
        <w:t xml:space="preserve">  This criterion uses, in this case, the pressures between </w:t>
      </w:r>
      <w:r>
        <w:rPr>
          <w:i/>
          <w:iCs/>
        </w:rPr>
        <w:t xml:space="preserve">X = </w:t>
      </w:r>
      <w:r>
        <w:t xml:space="preserve">0.00113 and </w:t>
      </w:r>
      <w:r>
        <w:rPr>
          <w:i/>
          <w:iCs/>
        </w:rPr>
        <w:t>X</w:t>
      </w:r>
      <w:r>
        <w:t xml:space="preserve"> = 0.312.</w:t>
      </w:r>
      <w:r w:rsidR="00B64790">
        <w:t xml:space="preserve">  It does not matter if the low</w:t>
      </w:r>
      <w:r w:rsidR="00350DCA">
        <w:t>-</w:t>
      </w:r>
      <w:r w:rsidR="00B64790">
        <w:t>pressure limit for the BET is used, the “Henry’s Law” stays the same in this test.</w:t>
      </w:r>
    </w:p>
    <w:p w14:paraId="1739361A" w14:textId="77777777" w:rsidR="00101CBA" w:rsidRDefault="00101CBA" w:rsidP="00543A53">
      <w:pPr>
        <w:pStyle w:val="NoSpacing"/>
      </w:pPr>
    </w:p>
    <w:p w14:paraId="3DD5A74F" w14:textId="3BF4BE3C" w:rsidR="00261862" w:rsidRPr="00D43770" w:rsidRDefault="00101CBA" w:rsidP="004859EA">
      <w:pPr>
        <w:pStyle w:val="NoSpacing"/>
        <w:outlineLvl w:val="1"/>
        <w:rPr>
          <w:i/>
          <w:iCs/>
        </w:rPr>
      </w:pPr>
      <w:bookmarkStart w:id="45" w:name="_Toc171582140"/>
      <w:r w:rsidRPr="00D43770">
        <w:rPr>
          <w:i/>
          <w:iCs/>
        </w:rPr>
        <w:t xml:space="preserve">Example </w:t>
      </w:r>
      <w:r w:rsidR="00ED7F54">
        <w:rPr>
          <w:i/>
          <w:iCs/>
        </w:rPr>
        <w:t>5</w:t>
      </w:r>
      <w:r w:rsidRPr="00D43770">
        <w:rPr>
          <w:i/>
          <w:iCs/>
        </w:rPr>
        <w:t>) Data by Thompson of argon on hydrogen cleaned</w:t>
      </w:r>
      <w:r>
        <w:rPr>
          <w:i/>
          <w:iCs/>
        </w:rPr>
        <w:t xml:space="preserve"> </w:t>
      </w:r>
      <w:r w:rsidRPr="00D43770">
        <w:rPr>
          <w:i/>
          <w:iCs/>
        </w:rPr>
        <w:t>alumina</w:t>
      </w:r>
      <w:r w:rsidRPr="00D43770">
        <w:rPr>
          <w:rStyle w:val="EndnoteReference"/>
          <w:i/>
          <w:iCs/>
        </w:rPr>
        <w:endnoteReference w:id="37"/>
      </w:r>
      <w:r w:rsidR="005015DA">
        <w:rPr>
          <w:rStyle w:val="FootnoteReference"/>
          <w:i/>
          <w:iCs/>
        </w:rPr>
        <w:footnoteReference w:id="14"/>
      </w:r>
      <w:r w:rsidRPr="00D43770">
        <w:rPr>
          <w:i/>
          <w:iCs/>
        </w:rPr>
        <w:t>:</w:t>
      </w:r>
      <w:bookmarkEnd w:id="45"/>
    </w:p>
    <w:p w14:paraId="41D24D85" w14:textId="77777777" w:rsidR="000E57E3" w:rsidRDefault="000E57E3" w:rsidP="00543A53">
      <w:pPr>
        <w:pStyle w:val="NoSpacing"/>
      </w:pPr>
    </w:p>
    <w:p w14:paraId="2C25EFAA" w14:textId="433ACCDF" w:rsidR="00101CBA" w:rsidRDefault="00101CBA" w:rsidP="00543A53">
      <w:pPr>
        <w:pStyle w:val="NoSpacing"/>
      </w:pPr>
      <w:r w:rsidRPr="001C4938">
        <w:t xml:space="preserve">When Thompson discovered that cleaning diamond revealed a threshold pressure, he decided to try the same thing on other materials.  The thought was that “dirty” adsorbents have </w:t>
      </w:r>
      <w:r w:rsidRPr="001C4938">
        <w:lastRenderedPageBreak/>
        <w:t>contamination on the surface that yield an energy distribution</w:t>
      </w:r>
      <w:r>
        <w:t>, in</w:t>
      </w:r>
      <w:r w:rsidRPr="001C4938">
        <w:t xml:space="preserve"> accord </w:t>
      </w:r>
      <w:r>
        <w:t>with</w:t>
      </w:r>
      <w:r w:rsidRPr="001C4938">
        <w:t xml:space="preserve"> the </w:t>
      </w:r>
      <w:r w:rsidR="00B64790">
        <w:t>QM</w:t>
      </w:r>
      <w:r w:rsidR="00167FBA">
        <w:rPr>
          <w:rFonts w:cs="Times New Roman"/>
        </w:rPr>
        <w:t>/ESW</w:t>
      </w:r>
      <w:r w:rsidR="00B64790">
        <w:t xml:space="preserve"> </w:t>
      </w:r>
      <w:r w:rsidRPr="001C4938">
        <w:t xml:space="preserve">equation for heterogeneity. </w:t>
      </w:r>
    </w:p>
    <w:p w14:paraId="1AA6A72C" w14:textId="77777777" w:rsidR="005B23A4" w:rsidRDefault="005B23A4" w:rsidP="00543A53">
      <w:pPr>
        <w:pStyle w:val="NoSpacing"/>
      </w:pPr>
    </w:p>
    <w:p w14:paraId="46680B06" w14:textId="5BB1C26C" w:rsidR="00895B79" w:rsidRDefault="00101CBA" w:rsidP="00543A53">
      <w:pPr>
        <w:pStyle w:val="NoSpacing"/>
      </w:pPr>
      <w:r w:rsidRPr="001C4938">
        <w:t>The data by Thompson for argon adsorbed on H</w:t>
      </w:r>
      <w:r w:rsidRPr="001C4938">
        <w:rPr>
          <w:vertAlign w:val="subscript"/>
        </w:rPr>
        <w:t>2</w:t>
      </w:r>
      <w:r w:rsidRPr="001C4938">
        <w:t xml:space="preserve"> cleaned </w:t>
      </w:r>
      <w:r w:rsidR="00895B79">
        <w:t xml:space="preserve">8571 </w:t>
      </w:r>
      <w:r w:rsidRPr="001C4938">
        <w:t xml:space="preserve">alumina is shown in </w:t>
      </w:r>
      <w:r w:rsidR="000C23BF">
        <w:fldChar w:fldCharType="begin"/>
      </w:r>
      <w:r w:rsidR="000C23BF">
        <w:instrText xml:space="preserve"> REF _Ref169172432 \h </w:instrText>
      </w:r>
      <w:r w:rsidR="000C23BF">
        <w:fldChar w:fldCharType="separate"/>
      </w:r>
      <w:r w:rsidR="00040CA9" w:rsidRPr="000C23BF">
        <w:rPr>
          <w:i/>
          <w:iCs/>
          <w:szCs w:val="24"/>
        </w:rPr>
        <w:t xml:space="preserve">Figure </w:t>
      </w:r>
      <w:r w:rsidR="00040CA9">
        <w:rPr>
          <w:i/>
          <w:iCs/>
          <w:noProof/>
          <w:szCs w:val="24"/>
        </w:rPr>
        <w:t>9</w:t>
      </w:r>
      <w:r w:rsidR="000C23BF">
        <w:fldChar w:fldCharType="end"/>
      </w:r>
      <w:r w:rsidRPr="001C4938">
        <w:t>.</w:t>
      </w:r>
      <w:r w:rsidR="00895B79">
        <w:t xml:space="preserve">  </w:t>
      </w:r>
    </w:p>
    <w:p w14:paraId="207BBCD9" w14:textId="6573C1F0" w:rsidR="00895B79" w:rsidRDefault="00895B79" w:rsidP="00543A53">
      <w:pPr>
        <w:pStyle w:val="NoSpacing"/>
      </w:pPr>
      <w:r>
        <w:t xml:space="preserve">The comparison to the </w:t>
      </w:r>
      <w:r w:rsidR="00B64790">
        <w:t>“</w:t>
      </w:r>
      <w:r>
        <w:t>Henry’s Law</w:t>
      </w:r>
      <w:r w:rsidR="00B64790">
        <w:t>”</w:t>
      </w:r>
      <w:r>
        <w:t xml:space="preserve"> test is given in the two </w:t>
      </w:r>
      <w:r w:rsidR="000663FC">
        <w:t xml:space="preserve">curved </w:t>
      </w:r>
      <w:r>
        <w:t xml:space="preserve">lines. One could argue that the two points that are off the projected </w:t>
      </w:r>
      <w:r>
        <w:rPr>
          <w:rFonts w:cs="Times New Roman"/>
        </w:rPr>
        <w:t>χ</w:t>
      </w:r>
      <w:r>
        <w:t xml:space="preserve">-plot indicates there is no threshold.  </w:t>
      </w:r>
      <w:r w:rsidR="00FD6041">
        <w:t>This argument only holds by i</w:t>
      </w:r>
      <w:r w:rsidR="000663FC">
        <w:t>gnoring that</w:t>
      </w:r>
      <w:r>
        <w:t xml:space="preserve"> the QM</w:t>
      </w:r>
      <w:r w:rsidR="00167FBA">
        <w:rPr>
          <w:rFonts w:cs="Times New Roman"/>
        </w:rPr>
        <w:t>/ESW</w:t>
      </w:r>
      <w:r>
        <w:t xml:space="preserve"> predicts that the heterogeneity of a surface such as Al</w:t>
      </w:r>
      <w:r w:rsidRPr="00895B79">
        <w:rPr>
          <w:vertAlign w:val="subscript"/>
        </w:rPr>
        <w:t>2</w:t>
      </w:r>
      <w:r>
        <w:t>O</w:t>
      </w:r>
      <w:r w:rsidRPr="00895B79">
        <w:rPr>
          <w:vertAlign w:val="subscript"/>
        </w:rPr>
        <w:t>3</w:t>
      </w:r>
      <w:r>
        <w:t xml:space="preserve"> should be present </w:t>
      </w:r>
      <w:r w:rsidR="00FD6041">
        <w:t xml:space="preserve">and should show up as a positive curvature.  Furthermore, there is no </w:t>
      </w:r>
      <w:r>
        <w:t xml:space="preserve">counter argument </w:t>
      </w:r>
      <w:r w:rsidR="00FD6041">
        <w:t xml:space="preserve">that can </w:t>
      </w:r>
      <w:r>
        <w:t xml:space="preserve">explain how the </w:t>
      </w:r>
      <w:r w:rsidR="004332D1">
        <w:t>“</w:t>
      </w:r>
      <w:r>
        <w:t>Henry’s law</w:t>
      </w:r>
      <w:r w:rsidR="004332D1">
        <w:t>”</w:t>
      </w:r>
      <w:r>
        <w:t xml:space="preserve"> extrapolation</w:t>
      </w:r>
      <w:r w:rsidR="000663FC">
        <w:t>s</w:t>
      </w:r>
      <w:r>
        <w:t xml:space="preserve"> </w:t>
      </w:r>
      <w:r w:rsidR="000663FC">
        <w:t>are</w:t>
      </w:r>
      <w:r>
        <w:t xml:space="preserve"> so miserable</w:t>
      </w:r>
      <w:r w:rsidR="004332D1">
        <w:t xml:space="preserve"> for the data</w:t>
      </w:r>
      <w:r>
        <w:t>.</w:t>
      </w:r>
    </w:p>
    <w:p w14:paraId="4608983D" w14:textId="77777777" w:rsidR="00101CBA" w:rsidRDefault="00101CBA" w:rsidP="00543A53">
      <w:pPr>
        <w:pStyle w:val="NoSpacing"/>
      </w:pPr>
    </w:p>
    <w:tbl>
      <w:tblPr>
        <w:tblStyle w:val="TableGrid"/>
        <w:tblW w:w="0" w:type="auto"/>
        <w:tblLook w:val="04A0" w:firstRow="1" w:lastRow="0" w:firstColumn="1" w:lastColumn="0" w:noHBand="0" w:noVBand="1"/>
      </w:tblPr>
      <w:tblGrid>
        <w:gridCol w:w="9350"/>
      </w:tblGrid>
      <w:tr w:rsidR="003B51EE" w14:paraId="0A1DDF15" w14:textId="77777777" w:rsidTr="00E80D26">
        <w:tc>
          <w:tcPr>
            <w:tcW w:w="9350" w:type="dxa"/>
          </w:tcPr>
          <w:p w14:paraId="52C539F8" w14:textId="77777777" w:rsidR="00895B79" w:rsidRDefault="00895B79" w:rsidP="00543A53">
            <w:pPr>
              <w:pStyle w:val="NoSpacing"/>
            </w:pPr>
            <w:r>
              <w:rPr>
                <w:noProof/>
              </w:rPr>
              <w:drawing>
                <wp:inline distT="0" distB="0" distL="0" distR="0" wp14:anchorId="1C1C2A5C" wp14:editId="7F91CD21">
                  <wp:extent cx="4007007" cy="3067864"/>
                  <wp:effectExtent l="0" t="0" r="0" b="0"/>
                  <wp:docPr id="1206534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534351" name="Picture 1"/>
                          <pic:cNvPicPr/>
                        </pic:nvPicPr>
                        <pic:blipFill>
                          <a:blip r:embed="rId32">
                            <a:extLst>
                              <a:ext uri="{28A0092B-C50C-407E-A947-70E740481C1C}">
                                <a14:useLocalDpi xmlns:a14="http://schemas.microsoft.com/office/drawing/2010/main" val="0"/>
                              </a:ext>
                            </a:extLst>
                          </a:blip>
                          <a:stretch>
                            <a:fillRect/>
                          </a:stretch>
                        </pic:blipFill>
                        <pic:spPr>
                          <a:xfrm>
                            <a:off x="0" y="0"/>
                            <a:ext cx="4007007" cy="3067864"/>
                          </a:xfrm>
                          <a:prstGeom prst="rect">
                            <a:avLst/>
                          </a:prstGeom>
                        </pic:spPr>
                      </pic:pic>
                    </a:graphicData>
                  </a:graphic>
                </wp:inline>
              </w:drawing>
            </w:r>
          </w:p>
          <w:p w14:paraId="734DC8D1" w14:textId="3DBC3256" w:rsidR="003B51EE" w:rsidRPr="000C23BF" w:rsidRDefault="00895B79" w:rsidP="00543A53">
            <w:pPr>
              <w:pStyle w:val="NoSpacing"/>
              <w:rPr>
                <w:i/>
                <w:iCs/>
                <w:szCs w:val="24"/>
              </w:rPr>
            </w:pPr>
            <w:bookmarkStart w:id="46" w:name="_Ref169172432"/>
            <w:r w:rsidRPr="000C23BF">
              <w:rPr>
                <w:i/>
                <w:iCs/>
                <w:szCs w:val="24"/>
              </w:rPr>
              <w:t xml:space="preserve">Figure </w:t>
            </w:r>
            <w:r w:rsidRPr="000C23BF">
              <w:rPr>
                <w:i/>
                <w:iCs/>
                <w:szCs w:val="24"/>
              </w:rPr>
              <w:fldChar w:fldCharType="begin"/>
            </w:r>
            <w:r w:rsidRPr="000C23BF">
              <w:rPr>
                <w:i/>
                <w:iCs/>
                <w:szCs w:val="24"/>
              </w:rPr>
              <w:instrText xml:space="preserve"> SEQ Figure \* ARABIC </w:instrText>
            </w:r>
            <w:r w:rsidRPr="000C23BF">
              <w:rPr>
                <w:i/>
                <w:iCs/>
                <w:szCs w:val="24"/>
              </w:rPr>
              <w:fldChar w:fldCharType="separate"/>
            </w:r>
            <w:r w:rsidR="00040CA9">
              <w:rPr>
                <w:i/>
                <w:iCs/>
                <w:noProof/>
                <w:szCs w:val="24"/>
              </w:rPr>
              <w:t>9</w:t>
            </w:r>
            <w:r w:rsidRPr="000C23BF">
              <w:rPr>
                <w:i/>
                <w:iCs/>
                <w:szCs w:val="24"/>
              </w:rPr>
              <w:fldChar w:fldCharType="end"/>
            </w:r>
            <w:bookmarkEnd w:id="46"/>
            <w:r w:rsidRPr="000C23BF">
              <w:rPr>
                <w:i/>
                <w:iCs/>
                <w:szCs w:val="24"/>
              </w:rPr>
              <w:t xml:space="preserve"> Adsorption of Ar on H</w:t>
            </w:r>
            <w:r w:rsidRPr="000C23BF">
              <w:rPr>
                <w:i/>
                <w:iCs/>
                <w:szCs w:val="24"/>
                <w:vertAlign w:val="subscript"/>
              </w:rPr>
              <w:t>2</w:t>
            </w:r>
            <w:r w:rsidRPr="000C23BF">
              <w:rPr>
                <w:i/>
                <w:iCs/>
                <w:szCs w:val="24"/>
              </w:rPr>
              <w:t xml:space="preserve"> cleaned alumina.  The pressure was dropped past the threshold pressure to make sure that zero was </w:t>
            </w:r>
            <w:r w:rsidR="00261862" w:rsidRPr="000C23BF">
              <w:rPr>
                <w:i/>
                <w:iCs/>
                <w:szCs w:val="24"/>
              </w:rPr>
              <w:t>reached</w:t>
            </w:r>
            <w:r w:rsidRPr="000C23BF">
              <w:rPr>
                <w:i/>
                <w:iCs/>
                <w:szCs w:val="24"/>
              </w:rPr>
              <w:t xml:space="preserve"> and there was no error with the balance system.  The slight round-off is the referred to heterogeneity possibility</w:t>
            </w:r>
          </w:p>
        </w:tc>
      </w:tr>
    </w:tbl>
    <w:p w14:paraId="3703E47F" w14:textId="77777777" w:rsidR="00101CBA" w:rsidRDefault="00101CBA" w:rsidP="00543A53">
      <w:pPr>
        <w:pStyle w:val="NoSpacing"/>
      </w:pPr>
    </w:p>
    <w:p w14:paraId="6504BD93" w14:textId="7397E14F" w:rsidR="00DD1C47" w:rsidRPr="00EF14C6" w:rsidRDefault="00326DA4" w:rsidP="004859EA">
      <w:pPr>
        <w:pStyle w:val="NoSpacing"/>
        <w:outlineLvl w:val="1"/>
        <w:rPr>
          <w:rFonts w:cs="Times New Roman"/>
          <w:i/>
        </w:rPr>
      </w:pPr>
      <w:bookmarkStart w:id="47" w:name="_Toc171582141"/>
      <w:r>
        <w:rPr>
          <w:rFonts w:cs="Times New Roman"/>
          <w:i/>
        </w:rPr>
        <w:t xml:space="preserve">Example </w:t>
      </w:r>
      <w:r w:rsidR="004859EA">
        <w:rPr>
          <w:rFonts w:cs="Times New Roman"/>
          <w:i/>
        </w:rPr>
        <w:t>6</w:t>
      </w:r>
      <w:r w:rsidR="00DD1C47">
        <w:rPr>
          <w:rFonts w:cs="Times New Roman"/>
          <w:i/>
        </w:rPr>
        <w:t>) Alternate “Henry’s law” test:</w:t>
      </w:r>
      <w:bookmarkEnd w:id="47"/>
    </w:p>
    <w:p w14:paraId="01E99DBA" w14:textId="77777777" w:rsidR="00DD1C47" w:rsidRDefault="00DD1C47" w:rsidP="00DD1C47">
      <w:pPr>
        <w:pStyle w:val="NoSpacing"/>
        <w:rPr>
          <w:rFonts w:cs="Times New Roman"/>
          <w:iCs/>
        </w:rPr>
      </w:pPr>
    </w:p>
    <w:p w14:paraId="1879D6FE" w14:textId="77777777" w:rsidR="00261862" w:rsidRDefault="00261862" w:rsidP="00261862">
      <w:pPr>
        <w:pStyle w:val="NoSpacing"/>
      </w:pPr>
      <w:r>
        <w:rPr>
          <w:rFonts w:cs="Times New Roman"/>
          <w:iCs/>
        </w:rPr>
        <w:t xml:space="preserve">There is one additional comment about the BET and the method of analysis.  When one plots </w:t>
      </w:r>
      <w:r>
        <w:rPr>
          <w:rFonts w:cs="Times New Roman"/>
          <w:iCs/>
        </w:rPr>
        <w:fldChar w:fldCharType="begin"/>
      </w:r>
      <w:r>
        <w:rPr>
          <w:rFonts w:cs="Times New Roman"/>
          <w:iCs/>
        </w:rPr>
        <w:instrText xml:space="preserve"> REF _Ref169163654 \h </w:instrText>
      </w:r>
      <w:r>
        <w:rPr>
          <w:rFonts w:cs="Times New Roman"/>
          <w:iCs/>
        </w:rPr>
      </w:r>
      <w:r>
        <w:rPr>
          <w:rFonts w:cs="Times New Roman"/>
          <w:iCs/>
        </w:rPr>
        <w:fldChar w:fldCharType="separate"/>
      </w:r>
      <w:r w:rsidRPr="00445EB3">
        <w:rPr>
          <w:i/>
          <w:iCs/>
          <w:szCs w:val="24"/>
        </w:rPr>
        <w:t xml:space="preserve">Equation </w:t>
      </w:r>
      <w:r>
        <w:rPr>
          <w:i/>
          <w:iCs/>
          <w:noProof/>
          <w:szCs w:val="24"/>
        </w:rPr>
        <w:t>2</w:t>
      </w:r>
      <w:r>
        <w:rPr>
          <w:rFonts w:cs="Times New Roman"/>
          <w:iCs/>
        </w:rPr>
        <w:fldChar w:fldCharType="end"/>
      </w:r>
      <w:r>
        <w:rPr>
          <w:rFonts w:cs="Times New Roman"/>
          <w:iCs/>
        </w:rPr>
        <w:t xml:space="preserve"> against </w:t>
      </w:r>
      <w:r>
        <w:rPr>
          <w:rFonts w:cs="Times New Roman"/>
          <w:i/>
        </w:rPr>
        <w:t>X</w:t>
      </w:r>
      <w:r>
        <w:rPr>
          <w:rFonts w:cs="Times New Roman"/>
          <w:iCs/>
        </w:rPr>
        <w:t xml:space="preserve"> to plot that one obtains in the Rouquerol region looks very straight and one is inclined to assume that the slope is the overall slope through this region.  This is an optical illusion.  Using the KJO data one can point-wise or piece wise differentiate to obtain an indication of the instantaneous slope.  This is shown in </w:t>
      </w:r>
      <w:r>
        <w:rPr>
          <w:rFonts w:cs="Times New Roman"/>
          <w:iCs/>
        </w:rPr>
        <w:fldChar w:fldCharType="begin"/>
      </w:r>
      <w:r>
        <w:rPr>
          <w:rFonts w:cs="Times New Roman"/>
          <w:iCs/>
        </w:rPr>
        <w:instrText xml:space="preserve"> REF _Ref159697414 \h </w:instrText>
      </w:r>
      <w:r>
        <w:rPr>
          <w:rFonts w:cs="Times New Roman"/>
          <w:iCs/>
        </w:rPr>
      </w:r>
      <w:r>
        <w:rPr>
          <w:rFonts w:cs="Times New Roman"/>
          <w:iCs/>
        </w:rPr>
        <w:fldChar w:fldCharType="separate"/>
      </w:r>
      <w:r w:rsidRPr="003C3C2D">
        <w:rPr>
          <w:i/>
          <w:iCs/>
        </w:rPr>
        <w:t xml:space="preserve">Figure </w:t>
      </w:r>
      <w:r>
        <w:rPr>
          <w:i/>
          <w:iCs/>
          <w:noProof/>
        </w:rPr>
        <w:t>10</w:t>
      </w:r>
      <w:r>
        <w:rPr>
          <w:rFonts w:cs="Times New Roman"/>
          <w:iCs/>
        </w:rPr>
        <w:fldChar w:fldCharType="end"/>
      </w:r>
      <w:r>
        <w:rPr>
          <w:rFonts w:cs="Times New Roman"/>
          <w:i/>
        </w:rPr>
        <w:t xml:space="preserve">. </w:t>
      </w:r>
      <w:r w:rsidRPr="00EA103A">
        <w:rPr>
          <w:rFonts w:cs="Times New Roman"/>
          <w:iCs/>
        </w:rPr>
        <w:t>The range of answers could be from ~4.8 to ~3.6</w:t>
      </w:r>
      <w:r>
        <w:rPr>
          <w:rFonts w:cs="Times New Roman"/>
          <w:iCs/>
        </w:rPr>
        <w:t>,</w:t>
      </w:r>
      <w:r w:rsidRPr="00EA103A">
        <w:rPr>
          <w:rFonts w:cs="Times New Roman"/>
          <w:iCs/>
        </w:rPr>
        <w:t xml:space="preserve"> </w:t>
      </w:r>
      <w:r>
        <w:rPr>
          <w:rFonts w:cs="Times New Roman"/>
          <w:iCs/>
        </w:rPr>
        <w:t>a</w:t>
      </w:r>
      <w:r w:rsidRPr="00EA103A">
        <w:rPr>
          <w:rFonts w:cs="Times New Roman"/>
          <w:iCs/>
        </w:rPr>
        <w:t xml:space="preserve"> range of ~30%</w:t>
      </w:r>
      <w:r>
        <w:rPr>
          <w:rFonts w:cs="Times New Roman"/>
          <w:iCs/>
        </w:rPr>
        <w:t xml:space="preserve">. This is with extremely good data with an overall standard deviation of better than </w:t>
      </w:r>
      <w:r w:rsidRPr="00D4061F">
        <w:rPr>
          <w:rFonts w:cs="Times New Roman"/>
        </w:rPr>
        <w:t>0.0059 %</w:t>
      </w:r>
      <w:r>
        <w:rPr>
          <w:rFonts w:cs="Times New Roman"/>
        </w:rPr>
        <w:t xml:space="preserve"> of the full range of data in the χ-plot.</w:t>
      </w:r>
    </w:p>
    <w:p w14:paraId="7A549C91" w14:textId="5E65B2BC" w:rsidR="00DD1C47" w:rsidRDefault="00DD1C47" w:rsidP="00DD1C47">
      <w:pPr>
        <w:pStyle w:val="NoSpacing"/>
        <w:rPr>
          <w:rFonts w:cs="Times New Roman"/>
          <w:i/>
        </w:rPr>
      </w:pPr>
    </w:p>
    <w:tbl>
      <w:tblPr>
        <w:tblStyle w:val="TableGrid"/>
        <w:tblW w:w="0" w:type="auto"/>
        <w:tblInd w:w="1885" w:type="dxa"/>
        <w:tblLook w:val="04A0" w:firstRow="1" w:lastRow="0" w:firstColumn="1" w:lastColumn="0" w:noHBand="0" w:noVBand="1"/>
      </w:tblPr>
      <w:tblGrid>
        <w:gridCol w:w="270"/>
        <w:gridCol w:w="5490"/>
        <w:gridCol w:w="270"/>
      </w:tblGrid>
      <w:tr w:rsidR="00DD1C47" w14:paraId="4BC13EB5" w14:textId="77777777" w:rsidTr="00E80D26">
        <w:tc>
          <w:tcPr>
            <w:tcW w:w="270" w:type="dxa"/>
          </w:tcPr>
          <w:p w14:paraId="1B076921" w14:textId="77777777" w:rsidR="00DD1C47" w:rsidRDefault="00DD1C47" w:rsidP="00E80D26">
            <w:pPr>
              <w:pStyle w:val="NoSpacing"/>
              <w:rPr>
                <w:rFonts w:cs="Times New Roman"/>
                <w:iCs/>
                <w:noProof/>
              </w:rPr>
            </w:pPr>
          </w:p>
        </w:tc>
        <w:tc>
          <w:tcPr>
            <w:tcW w:w="5490" w:type="dxa"/>
          </w:tcPr>
          <w:p w14:paraId="0658EA8A" w14:textId="77777777" w:rsidR="00DD1C47" w:rsidRDefault="00DD1C47" w:rsidP="00E80D26">
            <w:pPr>
              <w:pStyle w:val="NoSpacing"/>
            </w:pPr>
            <w:r>
              <w:rPr>
                <w:rFonts w:cs="Times New Roman"/>
                <w:iCs/>
                <w:noProof/>
              </w:rPr>
              <w:drawing>
                <wp:inline distT="0" distB="0" distL="0" distR="0" wp14:anchorId="5118A521" wp14:editId="3983BFFA">
                  <wp:extent cx="3343275" cy="2588682"/>
                  <wp:effectExtent l="0" t="0" r="0" b="2540"/>
                  <wp:docPr id="1401213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213156" name="Picture 1401213156"/>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351878" cy="2595343"/>
                          </a:xfrm>
                          <a:prstGeom prst="rect">
                            <a:avLst/>
                          </a:prstGeom>
                        </pic:spPr>
                      </pic:pic>
                    </a:graphicData>
                  </a:graphic>
                </wp:inline>
              </w:drawing>
            </w:r>
          </w:p>
          <w:p w14:paraId="1C2A518E" w14:textId="7297E90B" w:rsidR="00DD1C47" w:rsidRPr="003C3C2D" w:rsidRDefault="00DD1C47" w:rsidP="00E80D26">
            <w:pPr>
              <w:pStyle w:val="NoSpacing"/>
              <w:rPr>
                <w:i/>
                <w:iCs/>
              </w:rPr>
            </w:pPr>
            <w:bookmarkStart w:id="48" w:name="_Ref159697414"/>
            <w:r w:rsidRPr="003C3C2D">
              <w:rPr>
                <w:i/>
                <w:iCs/>
              </w:rPr>
              <w:t xml:space="preserve">Figure </w:t>
            </w:r>
            <w:r w:rsidRPr="003C3C2D">
              <w:rPr>
                <w:i/>
                <w:iCs/>
              </w:rPr>
              <w:fldChar w:fldCharType="begin"/>
            </w:r>
            <w:r w:rsidRPr="003C3C2D">
              <w:rPr>
                <w:i/>
                <w:iCs/>
              </w:rPr>
              <w:instrText xml:space="preserve"> SEQ Figure \* ARABIC </w:instrText>
            </w:r>
            <w:r w:rsidRPr="003C3C2D">
              <w:rPr>
                <w:i/>
                <w:iCs/>
              </w:rPr>
              <w:fldChar w:fldCharType="separate"/>
            </w:r>
            <w:r w:rsidR="00040CA9">
              <w:rPr>
                <w:i/>
                <w:iCs/>
                <w:noProof/>
              </w:rPr>
              <w:t>10</w:t>
            </w:r>
            <w:r w:rsidRPr="003C3C2D">
              <w:rPr>
                <w:i/>
                <w:iCs/>
                <w:noProof/>
              </w:rPr>
              <w:fldChar w:fldCharType="end"/>
            </w:r>
            <w:bookmarkEnd w:id="48"/>
            <w:r w:rsidRPr="003C3C2D">
              <w:rPr>
                <w:i/>
                <w:iCs/>
              </w:rPr>
              <w:t xml:space="preserve"> The slope of the BET plot within the Rouquerol region.  The </w:t>
            </w:r>
            <w:r w:rsidRPr="003C3C2D">
              <w:rPr>
                <w:rFonts w:cs="Times New Roman"/>
                <w:i/>
                <w:iCs/>
              </w:rPr>
              <w:t>×</w:t>
            </w:r>
            <w:r w:rsidRPr="003C3C2D">
              <w:rPr>
                <w:i/>
                <w:iCs/>
              </w:rPr>
              <w:t xml:space="preserve">s are two-point </w:t>
            </w:r>
            <w:r w:rsidR="00261862" w:rsidRPr="003C3C2D">
              <w:rPr>
                <w:i/>
                <w:iCs/>
              </w:rPr>
              <w:t>differentials,</w:t>
            </w:r>
            <w:r w:rsidRPr="003C3C2D">
              <w:rPr>
                <w:i/>
                <w:iCs/>
              </w:rPr>
              <w:t xml:space="preserve"> and the curved line is a three-point smoothing. The dashed line is the calculated slope using the BET.  KJO data was used as a model.</w:t>
            </w:r>
          </w:p>
        </w:tc>
        <w:tc>
          <w:tcPr>
            <w:tcW w:w="270" w:type="dxa"/>
          </w:tcPr>
          <w:p w14:paraId="1E876883" w14:textId="77777777" w:rsidR="00DD1C47" w:rsidRDefault="00DD1C47" w:rsidP="00E80D26">
            <w:pPr>
              <w:pStyle w:val="NoSpacing"/>
            </w:pPr>
          </w:p>
        </w:tc>
      </w:tr>
    </w:tbl>
    <w:p w14:paraId="4F8F8CC8" w14:textId="77777777" w:rsidR="00DD1C47" w:rsidRDefault="00DD1C47" w:rsidP="00DD1C47">
      <w:pPr>
        <w:pStyle w:val="NoSpacing"/>
        <w:rPr>
          <w:rFonts w:cs="Times New Roman"/>
          <w:iCs/>
        </w:rPr>
      </w:pPr>
    </w:p>
    <w:p w14:paraId="22D8CDD1" w14:textId="77777777" w:rsidR="00DD1C47" w:rsidRDefault="00DD1C47" w:rsidP="00543A53">
      <w:pPr>
        <w:pStyle w:val="NoSpacing"/>
      </w:pPr>
    </w:p>
    <w:p w14:paraId="2B61BAFF" w14:textId="351CCA04" w:rsidR="001D1B72" w:rsidRPr="00326DA4" w:rsidRDefault="001D1B72" w:rsidP="002B7062">
      <w:pPr>
        <w:pStyle w:val="NoSpacing"/>
        <w:outlineLvl w:val="1"/>
        <w:rPr>
          <w:rFonts w:cs="Times New Roman"/>
          <w:i/>
          <w:iCs/>
        </w:rPr>
      </w:pPr>
      <w:bookmarkStart w:id="49" w:name="_Toc171582142"/>
      <w:r w:rsidRPr="00326DA4">
        <w:rPr>
          <w:rFonts w:cs="Times New Roman"/>
          <w:i/>
          <w:iCs/>
        </w:rPr>
        <w:t xml:space="preserve">Conclusion about </w:t>
      </w:r>
      <w:r w:rsidR="001E7C28" w:rsidRPr="00326DA4">
        <w:rPr>
          <w:rFonts w:cs="Times New Roman"/>
          <w:i/>
          <w:iCs/>
        </w:rPr>
        <w:t>“</w:t>
      </w:r>
      <w:r w:rsidRPr="00326DA4">
        <w:rPr>
          <w:rFonts w:cs="Times New Roman"/>
          <w:i/>
          <w:iCs/>
        </w:rPr>
        <w:t>threshold quantities”</w:t>
      </w:r>
      <w:r w:rsidR="001E7C28" w:rsidRPr="00326DA4">
        <w:rPr>
          <w:rFonts w:cs="Times New Roman"/>
          <w:i/>
          <w:iCs/>
        </w:rPr>
        <w:t xml:space="preserve"> – </w:t>
      </w:r>
      <w:r w:rsidR="00FC6B04" w:rsidRPr="00326DA4">
        <w:rPr>
          <w:rFonts w:cs="Times New Roman"/>
          <w:i/>
          <w:iCs/>
        </w:rPr>
        <w:t>a</w:t>
      </w:r>
      <w:r w:rsidR="001E7C28" w:rsidRPr="00326DA4">
        <w:rPr>
          <w:rFonts w:cs="Times New Roman"/>
          <w:i/>
          <w:iCs/>
        </w:rPr>
        <w:t xml:space="preserve"> disproof of “Henry’s Law”</w:t>
      </w:r>
      <w:r w:rsidRPr="00326DA4">
        <w:rPr>
          <w:rFonts w:cs="Times New Roman"/>
          <w:i/>
          <w:iCs/>
        </w:rPr>
        <w:t>:</w:t>
      </w:r>
      <w:bookmarkEnd w:id="49"/>
    </w:p>
    <w:p w14:paraId="5F4FA0D3" w14:textId="77777777" w:rsidR="001D1B72" w:rsidRDefault="001D1B72" w:rsidP="00543A53">
      <w:pPr>
        <w:pStyle w:val="NoSpacing"/>
        <w:rPr>
          <w:rFonts w:cs="Times New Roman"/>
        </w:rPr>
      </w:pPr>
    </w:p>
    <w:p w14:paraId="0CD9B6D7" w14:textId="09073EDB" w:rsidR="001D1B72" w:rsidRDefault="001D1B72" w:rsidP="00543A53">
      <w:pPr>
        <w:pStyle w:val="NoSpacing"/>
        <w:rPr>
          <w:rFonts w:cs="Times New Roman"/>
        </w:rPr>
      </w:pPr>
      <w:r>
        <w:rPr>
          <w:rFonts w:cs="Times New Roman"/>
        </w:rPr>
        <w:t>These examples should be convincing concerning the threshold pressure and the invalidity of “Henry’s Law” for physisorption.  There are other examples cited in reference</w:t>
      </w:r>
      <w:r w:rsidR="00FC6B04">
        <w:rPr>
          <w:rFonts w:cs="Times New Roman"/>
        </w:rPr>
        <w:t xml:space="preserve"> </w:t>
      </w:r>
      <w:r w:rsidR="00FC6B04">
        <w:rPr>
          <w:rFonts w:cs="Times New Roman"/>
        </w:rPr>
        <w:fldChar w:fldCharType="begin"/>
      </w:r>
      <w:r w:rsidR="00FC6B04">
        <w:rPr>
          <w:rFonts w:cs="Times New Roman"/>
        </w:rPr>
        <w:instrText xml:space="preserve"> NOTEREF _Ref159694837 \h </w:instrText>
      </w:r>
      <w:r w:rsidR="00FC6B04">
        <w:rPr>
          <w:rFonts w:cs="Times New Roman"/>
        </w:rPr>
      </w:r>
      <w:r w:rsidR="00FC6B04">
        <w:rPr>
          <w:rFonts w:cs="Times New Roman"/>
        </w:rPr>
        <w:fldChar w:fldCharType="separate"/>
      </w:r>
      <w:r w:rsidR="00040CA9">
        <w:rPr>
          <w:rFonts w:cs="Times New Roman"/>
        </w:rPr>
        <w:t>4</w:t>
      </w:r>
      <w:r w:rsidR="00FC6B04">
        <w:rPr>
          <w:rFonts w:cs="Times New Roman"/>
        </w:rPr>
        <w:fldChar w:fldCharType="end"/>
      </w:r>
      <w:r>
        <w:rPr>
          <w:rFonts w:cs="Times New Roman"/>
        </w:rPr>
        <w:t xml:space="preserve">, </w:t>
      </w:r>
      <w:r w:rsidR="00496593">
        <w:rPr>
          <w:rFonts w:cs="Times New Roman"/>
        </w:rPr>
        <w:t xml:space="preserve">with adsorbents </w:t>
      </w:r>
      <w:r>
        <w:rPr>
          <w:rFonts w:cs="Times New Roman"/>
        </w:rPr>
        <w:t>such a</w:t>
      </w:r>
      <w:r w:rsidR="00496593">
        <w:rPr>
          <w:rFonts w:cs="Times New Roman"/>
        </w:rPr>
        <w:t>s</w:t>
      </w:r>
      <w:r>
        <w:rPr>
          <w:rFonts w:cs="Times New Roman"/>
        </w:rPr>
        <w:t xml:space="preserve"> thori</w:t>
      </w:r>
      <w:r w:rsidR="00496593">
        <w:rPr>
          <w:rFonts w:cs="Times New Roman"/>
        </w:rPr>
        <w:t>a</w:t>
      </w:r>
      <w:r>
        <w:rPr>
          <w:rFonts w:cs="Times New Roman"/>
        </w:rPr>
        <w:t>, berylli</w:t>
      </w:r>
      <w:r w:rsidR="00496593">
        <w:rPr>
          <w:rFonts w:cs="Times New Roman"/>
        </w:rPr>
        <w:t>a</w:t>
      </w:r>
      <w:r>
        <w:rPr>
          <w:rFonts w:cs="Times New Roman"/>
        </w:rPr>
        <w:t>, Teflon</w:t>
      </w:r>
      <w:r w:rsidR="00FD6041">
        <w:rPr>
          <w:rFonts w:cs="Times New Roman"/>
        </w:rPr>
        <w:t>®</w:t>
      </w:r>
      <w:r>
        <w:rPr>
          <w:rFonts w:cs="Times New Roman"/>
        </w:rPr>
        <w:t xml:space="preserve"> and lunar soils. It is difficult to find examples in the literature for two reasons:  1) the phenomenon </w:t>
      </w:r>
      <w:r w:rsidR="00313B12">
        <w:rPr>
          <w:rFonts w:cs="Times New Roman"/>
        </w:rPr>
        <w:t>occurs usually in the high vacuum or ultra-high vacuum</w:t>
      </w:r>
      <w:r>
        <w:rPr>
          <w:rFonts w:cs="Times New Roman"/>
        </w:rPr>
        <w:t xml:space="preserve"> </w:t>
      </w:r>
      <w:r w:rsidR="00313B12">
        <w:rPr>
          <w:rFonts w:cs="Times New Roman"/>
        </w:rPr>
        <w:t xml:space="preserve">range and 2) if one </w:t>
      </w:r>
      <w:r w:rsidR="00144E15">
        <w:rPr>
          <w:rFonts w:cs="Times New Roman"/>
        </w:rPr>
        <w:t xml:space="preserve">had </w:t>
      </w:r>
      <w:r w:rsidR="00313B12">
        <w:rPr>
          <w:rFonts w:cs="Times New Roman"/>
        </w:rPr>
        <w:t>submit</w:t>
      </w:r>
      <w:r w:rsidR="00FC6B04">
        <w:rPr>
          <w:rFonts w:cs="Times New Roman"/>
        </w:rPr>
        <w:t>t</w:t>
      </w:r>
      <w:r w:rsidR="000C23BF">
        <w:rPr>
          <w:rFonts w:cs="Times New Roman"/>
        </w:rPr>
        <w:t>ed</w:t>
      </w:r>
      <w:r w:rsidR="00313B12">
        <w:rPr>
          <w:rFonts w:cs="Times New Roman"/>
        </w:rPr>
        <w:t xml:space="preserve"> a report </w:t>
      </w:r>
      <w:r w:rsidR="00FC6B04">
        <w:rPr>
          <w:rFonts w:cs="Times New Roman"/>
        </w:rPr>
        <w:t>mentioning</w:t>
      </w:r>
      <w:r w:rsidR="000C23BF">
        <w:rPr>
          <w:rFonts w:cs="Times New Roman"/>
        </w:rPr>
        <w:t xml:space="preserve"> </w:t>
      </w:r>
      <w:r w:rsidR="00313B12">
        <w:rPr>
          <w:rFonts w:cs="Times New Roman"/>
        </w:rPr>
        <w:t xml:space="preserve">this phenomenon for journal publication </w:t>
      </w:r>
      <w:r w:rsidR="00144E15">
        <w:rPr>
          <w:rFonts w:cs="Times New Roman"/>
        </w:rPr>
        <w:t xml:space="preserve">rejection was </w:t>
      </w:r>
      <w:r w:rsidR="00313B12">
        <w:rPr>
          <w:rFonts w:cs="Times New Roman"/>
        </w:rPr>
        <w:t>automatic.</w:t>
      </w:r>
    </w:p>
    <w:p w14:paraId="17481712" w14:textId="77777777" w:rsidR="00313B12" w:rsidRDefault="00313B12" w:rsidP="00543A53">
      <w:pPr>
        <w:pStyle w:val="NoSpacing"/>
        <w:rPr>
          <w:rFonts w:cs="Times New Roman"/>
        </w:rPr>
      </w:pPr>
    </w:p>
    <w:p w14:paraId="43A9D386" w14:textId="0EEC082D" w:rsidR="00313B12" w:rsidRDefault="00313B12" w:rsidP="00543A53">
      <w:pPr>
        <w:pStyle w:val="NoSpacing"/>
      </w:pPr>
      <w:r>
        <w:t xml:space="preserve">It was important to review the material in this section, which is overwhelming evidence of the threshold pressure. This was to illustrate that any valid theory of physical adsorption that is a denial of this phenomenon is at best incomplete and probably totally false.  Indeed, the IUPAC convention should be that any valid theory of physical adsorption should allow for the possibility of </w:t>
      </w:r>
      <w:r w:rsidR="00261862">
        <w:t>threshold</w:t>
      </w:r>
      <w:r>
        <w:t xml:space="preserve"> pressure.</w:t>
      </w:r>
    </w:p>
    <w:p w14:paraId="6524882E" w14:textId="77777777" w:rsidR="00313B12" w:rsidRDefault="00313B12" w:rsidP="00543A53">
      <w:pPr>
        <w:pStyle w:val="NoSpacing"/>
      </w:pPr>
    </w:p>
    <w:p w14:paraId="45893802" w14:textId="77777777" w:rsidR="006E03FC" w:rsidRDefault="00313B12" w:rsidP="00543A53">
      <w:pPr>
        <w:pStyle w:val="NoSpacing"/>
      </w:pPr>
      <w:r>
        <w:t>The puzzle that Brunauer could not rectify about the phase change is solved.  The phase change to the liquid state, though not fully dense, is at the threshold pressure – thus fulfilling the Gibbs’ phase rule expanded for surface</w:t>
      </w:r>
      <w:r w:rsidR="000977AC">
        <w:t>s</w:t>
      </w:r>
      <w:r>
        <w:t xml:space="preserve">.  Another puzzle </w:t>
      </w:r>
      <w:r w:rsidR="000977AC">
        <w:t xml:space="preserve">is </w:t>
      </w:r>
      <w:r>
        <w:t>solved.</w:t>
      </w:r>
    </w:p>
    <w:p w14:paraId="3C3682C3" w14:textId="00E31896" w:rsidR="00E1370E" w:rsidRDefault="00E1370E" w:rsidP="00543A53">
      <w:pPr>
        <w:pStyle w:val="NoSpacing"/>
      </w:pPr>
    </w:p>
    <w:p w14:paraId="6125D45C" w14:textId="77777777" w:rsidR="00A32ADA" w:rsidRDefault="00A32ADA" w:rsidP="00543A53">
      <w:pPr>
        <w:pStyle w:val="NoSpacing"/>
        <w:rPr>
          <w:b/>
          <w:bCs/>
        </w:rPr>
      </w:pPr>
      <w:r>
        <w:rPr>
          <w:b/>
          <w:bCs/>
        </w:rPr>
        <w:br w:type="page"/>
      </w:r>
    </w:p>
    <w:p w14:paraId="12434B1C" w14:textId="02199BE5" w:rsidR="000977AC" w:rsidRDefault="003557D5" w:rsidP="002B7062">
      <w:pPr>
        <w:pStyle w:val="NoSpacing"/>
        <w:outlineLvl w:val="0"/>
      </w:pPr>
      <w:bookmarkStart w:id="50" w:name="_Toc171582143"/>
      <w:r>
        <w:rPr>
          <w:b/>
          <w:bCs/>
        </w:rPr>
        <w:lastRenderedPageBreak/>
        <w:t xml:space="preserve">Part </w:t>
      </w:r>
      <w:r w:rsidR="002B7062">
        <w:rPr>
          <w:b/>
          <w:bCs/>
        </w:rPr>
        <w:t>IV</w:t>
      </w:r>
      <w:r w:rsidR="00A32ADA">
        <w:rPr>
          <w:b/>
          <w:bCs/>
        </w:rPr>
        <w:t xml:space="preserve"> </w:t>
      </w:r>
      <w:r w:rsidR="000977AC" w:rsidRPr="00FA64F3">
        <w:rPr>
          <w:b/>
          <w:bCs/>
        </w:rPr>
        <w:t>Correlation between BET results and the quantum mechanical expected results</w:t>
      </w:r>
      <w:r w:rsidR="000977AC">
        <w:t>:</w:t>
      </w:r>
      <w:bookmarkEnd w:id="50"/>
    </w:p>
    <w:p w14:paraId="3AA52399" w14:textId="77777777" w:rsidR="00E5068C" w:rsidRDefault="00E5068C" w:rsidP="00543A53">
      <w:pPr>
        <w:pStyle w:val="NoSpacing"/>
      </w:pPr>
    </w:p>
    <w:p w14:paraId="4432EA39" w14:textId="5751D2A9" w:rsidR="00F80C98" w:rsidRDefault="00E5068C" w:rsidP="00543A53">
      <w:pPr>
        <w:pStyle w:val="NoSpacing"/>
        <w:rPr>
          <w:rFonts w:cs="Times New Roman"/>
          <w:iCs/>
        </w:rPr>
      </w:pPr>
      <w:r>
        <w:t>In this section the exercise is to compare the calculation of the BET to QM</w:t>
      </w:r>
      <w:r w:rsidR="00167FBA">
        <w:rPr>
          <w:rFonts w:cs="Times New Roman"/>
        </w:rPr>
        <w:t>/ESW</w:t>
      </w:r>
      <w:r>
        <w:t xml:space="preserve"> results.</w:t>
      </w:r>
      <w:r>
        <w:rPr>
          <w:rFonts w:cs="Times New Roman"/>
        </w:rPr>
        <w:t xml:space="preserve">  In the BET theory</w:t>
      </w:r>
      <w:r w:rsidR="00E74B65">
        <w:rPr>
          <w:rFonts w:cs="Times New Roman"/>
        </w:rPr>
        <w:t>, the constant</w:t>
      </w:r>
      <w:r>
        <w:rPr>
          <w:rFonts w:cs="Times New Roman"/>
        </w:rPr>
        <w:t xml:space="preserve"> </w:t>
      </w:r>
      <w:r>
        <w:rPr>
          <w:rFonts w:cs="Times New Roman"/>
          <w:i/>
          <w:iCs/>
        </w:rPr>
        <w:t xml:space="preserve">“C” </w:t>
      </w:r>
      <w:r>
        <w:rPr>
          <w:rFonts w:cs="Times New Roman"/>
        </w:rPr>
        <w:t>does not seem to have any meaning other than an arbitrary constant</w:t>
      </w:r>
      <w:r w:rsidR="00E74B65">
        <w:rPr>
          <w:rStyle w:val="FootnoteReference"/>
          <w:rFonts w:cs="Times New Roman"/>
        </w:rPr>
        <w:footnoteReference w:id="15"/>
      </w:r>
      <w:r>
        <w:rPr>
          <w:rFonts w:cs="Times New Roman"/>
        </w:rPr>
        <w:t xml:space="preserve">.  The </w:t>
      </w:r>
      <w:r>
        <w:rPr>
          <w:rFonts w:cs="Times New Roman"/>
          <w:i/>
          <w:iCs/>
        </w:rPr>
        <w:t>E</w:t>
      </w:r>
      <w:r>
        <w:rPr>
          <w:rFonts w:cs="Times New Roman"/>
          <w:vertAlign w:val="subscript"/>
        </w:rPr>
        <w:t>a</w:t>
      </w:r>
      <w:r>
        <w:rPr>
          <w:rFonts w:cs="Times New Roman"/>
        </w:rPr>
        <w:t xml:space="preserve"> from QM</w:t>
      </w:r>
      <w:r w:rsidR="00167FBA">
        <w:rPr>
          <w:rFonts w:cs="Times New Roman"/>
        </w:rPr>
        <w:t>/ESW</w:t>
      </w:r>
      <w:r>
        <w:rPr>
          <w:rFonts w:cs="Times New Roman"/>
        </w:rPr>
        <w:t xml:space="preserve"> has the meaning of the </w:t>
      </w:r>
      <w:r w:rsidR="000C23BF">
        <w:rPr>
          <w:rFonts w:cs="Times New Roman"/>
        </w:rPr>
        <w:t xml:space="preserve">starting </w:t>
      </w:r>
      <w:r>
        <w:rPr>
          <w:rFonts w:cs="Times New Roman"/>
        </w:rPr>
        <w:t xml:space="preserve">adsorption energy </w:t>
      </w:r>
      <w:r w:rsidR="00B073C7">
        <w:rPr>
          <w:rFonts w:cs="Times New Roman"/>
        </w:rPr>
        <w:t>as defined by</w:t>
      </w:r>
      <w:r w:rsidR="00F80C98">
        <w:rPr>
          <w:rFonts w:cs="Times New Roman"/>
        </w:rPr>
        <w:t xml:space="preserve"> </w:t>
      </w:r>
      <w:r w:rsidR="00F80C98" w:rsidRPr="00F80C98">
        <w:rPr>
          <w:rFonts w:cs="Times New Roman"/>
          <w:i/>
          <w:iCs/>
        </w:rPr>
        <w:fldChar w:fldCharType="begin"/>
      </w:r>
      <w:r w:rsidR="00F80C98" w:rsidRPr="00F80C98">
        <w:rPr>
          <w:rFonts w:cs="Times New Roman"/>
          <w:i/>
          <w:iCs/>
        </w:rPr>
        <w:instrText xml:space="preserve"> REF _Ref169163889 \h  \* MERGEFORMAT </w:instrText>
      </w:r>
      <w:r w:rsidR="00F80C98" w:rsidRPr="00F80C98">
        <w:rPr>
          <w:rFonts w:cs="Times New Roman"/>
          <w:i/>
          <w:iCs/>
        </w:rPr>
      </w:r>
      <w:r w:rsidR="00F80C98" w:rsidRPr="00F80C98">
        <w:rPr>
          <w:rFonts w:cs="Times New Roman"/>
          <w:i/>
          <w:iCs/>
        </w:rPr>
        <w:fldChar w:fldCharType="separate"/>
      </w:r>
      <w:r w:rsidR="00040CA9" w:rsidRPr="00040CA9">
        <w:rPr>
          <w:i/>
          <w:iCs/>
          <w:szCs w:val="24"/>
        </w:rPr>
        <w:t xml:space="preserve">Equation </w:t>
      </w:r>
      <w:r w:rsidR="00040CA9" w:rsidRPr="00040CA9">
        <w:rPr>
          <w:i/>
          <w:iCs/>
          <w:noProof/>
          <w:szCs w:val="24"/>
        </w:rPr>
        <w:t>6</w:t>
      </w:r>
      <w:r w:rsidR="00F80C98" w:rsidRPr="00F80C98">
        <w:rPr>
          <w:rFonts w:cs="Times New Roman"/>
          <w:i/>
          <w:iCs/>
        </w:rPr>
        <w:fldChar w:fldCharType="end"/>
      </w:r>
      <w:r w:rsidRPr="00F80C98">
        <w:rPr>
          <w:rFonts w:cs="Times New Roman"/>
          <w:i/>
          <w:iCs/>
        </w:rPr>
        <w:t>.</w:t>
      </w:r>
      <w:r>
        <w:rPr>
          <w:rFonts w:cs="Times New Roman"/>
          <w:iCs/>
        </w:rPr>
        <w:t xml:space="preserve">  Thus,</w:t>
      </w:r>
      <w:r w:rsidRPr="006A6A16">
        <w:rPr>
          <w:rFonts w:cs="Times New Roman"/>
          <w:i/>
        </w:rPr>
        <w:t xml:space="preserve"> </w:t>
      </w:r>
      <w:proofErr w:type="spellStart"/>
      <w:r w:rsidRPr="007841A9">
        <w:rPr>
          <w:rFonts w:cs="Times New Roman"/>
          <w:i/>
        </w:rPr>
        <w:t>E̅</w:t>
      </w:r>
      <w:r>
        <w:rPr>
          <w:rFonts w:cs="Times New Roman"/>
          <w:iCs/>
          <w:vertAlign w:val="subscript"/>
        </w:rPr>
        <w:t>a</w:t>
      </w:r>
      <w:proofErr w:type="spellEnd"/>
      <w:r w:rsidRPr="006A6A16">
        <w:rPr>
          <w:rFonts w:cs="Times New Roman"/>
          <w:i/>
        </w:rPr>
        <w:t xml:space="preserve"> </w:t>
      </w:r>
      <w:r>
        <w:rPr>
          <w:rFonts w:cs="Times New Roman"/>
          <w:iCs/>
        </w:rPr>
        <w:t>does have a physical meaning</w:t>
      </w:r>
      <w:r w:rsidR="004332D1">
        <w:rPr>
          <w:rFonts w:cs="Times New Roman"/>
          <w:iCs/>
        </w:rPr>
        <w:t>, it is the pre</w:t>
      </w:r>
      <w:r w:rsidR="003557D5">
        <w:rPr>
          <w:rFonts w:cs="Times New Roman"/>
          <w:iCs/>
        </w:rPr>
        <w:t>-</w:t>
      </w:r>
      <w:r w:rsidR="004332D1">
        <w:rPr>
          <w:rFonts w:cs="Times New Roman"/>
          <w:iCs/>
        </w:rPr>
        <w:t>exp</w:t>
      </w:r>
      <w:r w:rsidR="003557D5">
        <w:rPr>
          <w:rFonts w:cs="Times New Roman"/>
          <w:iCs/>
        </w:rPr>
        <w:t>o</w:t>
      </w:r>
      <w:r w:rsidR="004332D1">
        <w:rPr>
          <w:rFonts w:cs="Times New Roman"/>
          <w:iCs/>
        </w:rPr>
        <w:t>n</w:t>
      </w:r>
      <w:r w:rsidR="003557D5">
        <w:rPr>
          <w:rFonts w:cs="Times New Roman"/>
          <w:iCs/>
        </w:rPr>
        <w:t>en</w:t>
      </w:r>
      <w:r w:rsidR="004332D1">
        <w:rPr>
          <w:rFonts w:cs="Times New Roman"/>
          <w:iCs/>
        </w:rPr>
        <w:t xml:space="preserve">tial constant for the </w:t>
      </w:r>
      <w:proofErr w:type="spellStart"/>
      <w:r w:rsidR="004332D1">
        <w:rPr>
          <w:rFonts w:cs="Times New Roman"/>
          <w:b/>
          <w:bCs/>
          <w:iCs/>
        </w:rPr>
        <w:t>Δ</w:t>
      </w:r>
      <w:r w:rsidR="004332D1" w:rsidRPr="009A510C">
        <w:rPr>
          <w:rFonts w:cs="Times New Roman"/>
          <w:iCs/>
          <w:vertAlign w:val="subscript"/>
        </w:rPr>
        <w:t>l</w:t>
      </w:r>
      <w:r w:rsidR="004332D1" w:rsidRPr="009A510C">
        <w:rPr>
          <w:rFonts w:cs="Times New Roman"/>
          <w:iCs/>
          <w:vertAlign w:val="superscript"/>
        </w:rPr>
        <w:t>a</w:t>
      </w:r>
      <w:r w:rsidR="004332D1">
        <w:rPr>
          <w:rFonts w:cs="Times New Roman"/>
          <w:b/>
          <w:bCs/>
          <w:iCs/>
        </w:rPr>
        <w:t>E</w:t>
      </w:r>
      <w:proofErr w:type="spellEnd"/>
      <w:r w:rsidR="004332D1">
        <w:rPr>
          <w:rFonts w:cs="Times New Roman"/>
          <w:b/>
          <w:bCs/>
          <w:iCs/>
        </w:rPr>
        <w:t>̅</w:t>
      </w:r>
      <w:r w:rsidR="004332D1" w:rsidRPr="004332D1">
        <w:rPr>
          <w:rFonts w:cs="Times New Roman"/>
          <w:iCs/>
        </w:rPr>
        <w:t xml:space="preserve"> function</w:t>
      </w:r>
      <w:r>
        <w:rPr>
          <w:rFonts w:cs="Times New Roman"/>
          <w:iCs/>
        </w:rPr>
        <w:t xml:space="preserve">. </w:t>
      </w:r>
    </w:p>
    <w:p w14:paraId="5A0D1CEA" w14:textId="77777777" w:rsidR="00F80C98" w:rsidRDefault="00F80C98" w:rsidP="00543A53">
      <w:pPr>
        <w:pStyle w:val="NoSpacing"/>
        <w:rPr>
          <w:rFonts w:cs="Times New Roman"/>
          <w:iCs/>
        </w:rPr>
      </w:pPr>
    </w:p>
    <w:p w14:paraId="6C5387C9" w14:textId="705077B4" w:rsidR="00E5068C" w:rsidRDefault="00E5068C" w:rsidP="00543A53">
      <w:pPr>
        <w:pStyle w:val="NoSpacing"/>
        <w:rPr>
          <w:rFonts w:cs="Times New Roman"/>
          <w:iCs/>
        </w:rPr>
      </w:pPr>
      <w:r>
        <w:rPr>
          <w:rFonts w:cs="Times New Roman"/>
          <w:iCs/>
        </w:rPr>
        <w:t xml:space="preserve">There are two </w:t>
      </w:r>
      <w:r w:rsidR="00E74B65">
        <w:rPr>
          <w:rFonts w:cs="Times New Roman"/>
          <w:iCs/>
        </w:rPr>
        <w:t xml:space="preserve">widely used </w:t>
      </w:r>
      <w:r>
        <w:rPr>
          <w:rFonts w:cs="Times New Roman"/>
          <w:iCs/>
        </w:rPr>
        <w:t>conventions for the BET</w:t>
      </w:r>
      <w:r w:rsidR="00E74B65">
        <w:rPr>
          <w:rFonts w:cs="Times New Roman"/>
          <w:iCs/>
        </w:rPr>
        <w:t xml:space="preserve"> that</w:t>
      </w:r>
      <w:r>
        <w:rPr>
          <w:rFonts w:cs="Times New Roman"/>
          <w:iCs/>
        </w:rPr>
        <w:t xml:space="preserve"> </w:t>
      </w:r>
      <w:r w:rsidR="00E74B65">
        <w:rPr>
          <w:rFonts w:cs="Times New Roman"/>
          <w:iCs/>
        </w:rPr>
        <w:t xml:space="preserve">specify </w:t>
      </w:r>
      <w:r>
        <w:rPr>
          <w:rFonts w:cs="Times New Roman"/>
          <w:iCs/>
        </w:rPr>
        <w:t xml:space="preserve">the </w:t>
      </w:r>
      <w:r w:rsidR="00E74B65">
        <w:rPr>
          <w:rFonts w:cs="Times New Roman"/>
          <w:iCs/>
        </w:rPr>
        <w:t xml:space="preserve">allowed </w:t>
      </w:r>
      <w:r>
        <w:rPr>
          <w:rFonts w:cs="Times New Roman"/>
          <w:iCs/>
        </w:rPr>
        <w:t xml:space="preserve">pressure.  </w:t>
      </w:r>
      <w:r w:rsidR="00B52D0A">
        <w:rPr>
          <w:rFonts w:cs="Times New Roman"/>
          <w:iCs/>
        </w:rPr>
        <w:t>A third, less common new convention</w:t>
      </w:r>
      <w:r w:rsidR="004332D1">
        <w:rPr>
          <w:rFonts w:cs="Times New Roman"/>
          <w:iCs/>
        </w:rPr>
        <w:t>,</w:t>
      </w:r>
      <w:r w:rsidR="00B52D0A">
        <w:rPr>
          <w:rFonts w:cs="Times New Roman"/>
          <w:iCs/>
        </w:rPr>
        <w:t xml:space="preserve"> is to use a </w:t>
      </w:r>
      <w:r w:rsidR="003557D5">
        <w:rPr>
          <w:rFonts w:cs="Times New Roman"/>
          <w:iCs/>
        </w:rPr>
        <w:t>non</w:t>
      </w:r>
      <w:r w:rsidR="00B52D0A">
        <w:rPr>
          <w:rFonts w:cs="Times New Roman"/>
          <w:iCs/>
        </w:rPr>
        <w:t xml:space="preserve">linear-least-squares fit. This latter method also requires a specific pressure range.  </w:t>
      </w:r>
      <w:r>
        <w:rPr>
          <w:rFonts w:cs="Times New Roman"/>
          <w:iCs/>
        </w:rPr>
        <w:t xml:space="preserve">It is important to know what the </w:t>
      </w:r>
      <w:r w:rsidR="00E74B65">
        <w:rPr>
          <w:rFonts w:cs="Times New Roman"/>
          <w:iCs/>
        </w:rPr>
        <w:t xml:space="preserve">allowed </w:t>
      </w:r>
      <w:r>
        <w:rPr>
          <w:rFonts w:cs="Times New Roman"/>
          <w:iCs/>
        </w:rPr>
        <w:t>pressure range is, since the BET answer is dependent upon the choice.  (A renaissance scientist would be horrified by this inconsistency.)</w:t>
      </w:r>
    </w:p>
    <w:p w14:paraId="5B8D16BD" w14:textId="77777777" w:rsidR="00E5068C" w:rsidRDefault="00E5068C" w:rsidP="00543A53">
      <w:pPr>
        <w:pStyle w:val="NoSpacing"/>
      </w:pPr>
    </w:p>
    <w:p w14:paraId="4EAE4014" w14:textId="2F188BD8" w:rsidR="00E5068C" w:rsidRPr="000E23C7" w:rsidRDefault="00E5068C" w:rsidP="00543A53">
      <w:pPr>
        <w:pStyle w:val="NoSpacing"/>
        <w:rPr>
          <w:i/>
          <w:iCs/>
        </w:rPr>
      </w:pPr>
      <w:r>
        <w:t>The method simulates the normal transform method with {</w:t>
      </w:r>
      <w:r>
        <w:rPr>
          <w:i/>
          <w:iCs/>
        </w:rPr>
        <w:t>X</w:t>
      </w:r>
      <w:r>
        <w:t>/[</w:t>
      </w:r>
      <w:r>
        <w:rPr>
          <w:i/>
          <w:iCs/>
        </w:rPr>
        <w:t>n</w:t>
      </w:r>
      <w:r w:rsidRPr="00EB3185">
        <w:rPr>
          <w:vertAlign w:val="subscript"/>
        </w:rPr>
        <w:t>ads</w:t>
      </w:r>
      <w:r>
        <w:t>(1-</w:t>
      </w:r>
      <w:r>
        <w:rPr>
          <w:i/>
          <w:iCs/>
        </w:rPr>
        <w:t>X</w:t>
      </w:r>
      <w:r>
        <w:t>)]} as the ordinate transform.  The QM</w:t>
      </w:r>
      <w:r w:rsidR="00167FBA">
        <w:rPr>
          <w:rFonts w:cs="Times New Roman"/>
        </w:rPr>
        <w:t>/ESW</w:t>
      </w:r>
      <w:r>
        <w:t xml:space="preserve"> results in a </w:t>
      </w:r>
      <w:r>
        <w:rPr>
          <w:rFonts w:cs="Times New Roman"/>
        </w:rPr>
        <w:t>χ</w:t>
      </w:r>
      <w:r>
        <w:t xml:space="preserve">-plot are linear and the BET plot is calculated from this.  The equations used to do this are derived </w:t>
      </w:r>
      <w:r w:rsidR="00F80C98">
        <w:t>fr</w:t>
      </w:r>
      <w:r>
        <w:t>om</w:t>
      </w:r>
      <w:r w:rsidR="00F80C98">
        <w:t xml:space="preserve"> </w:t>
      </w:r>
      <w:r w:rsidR="00F80C98">
        <w:fldChar w:fldCharType="begin"/>
      </w:r>
      <w:r w:rsidR="00F80C98">
        <w:instrText xml:space="preserve"> REF _Ref169163628 \h </w:instrText>
      </w:r>
      <w:r w:rsidR="00F80C98">
        <w:fldChar w:fldCharType="separate"/>
      </w:r>
      <w:r w:rsidR="00040CA9" w:rsidRPr="00445EB3">
        <w:rPr>
          <w:i/>
          <w:iCs/>
        </w:rPr>
        <w:t xml:space="preserve">Equation </w:t>
      </w:r>
      <w:r w:rsidR="00040CA9">
        <w:rPr>
          <w:i/>
          <w:iCs/>
          <w:noProof/>
        </w:rPr>
        <w:t>1</w:t>
      </w:r>
      <w:r w:rsidR="00F80C98">
        <w:fldChar w:fldCharType="end"/>
      </w:r>
      <w:r w:rsidR="00F80C98">
        <w:t xml:space="preserve"> and </w:t>
      </w:r>
      <w:r w:rsidR="00F80C98" w:rsidRPr="00F80C98">
        <w:rPr>
          <w:i/>
          <w:iCs/>
        </w:rPr>
        <w:fldChar w:fldCharType="begin"/>
      </w:r>
      <w:r w:rsidR="00F80C98" w:rsidRPr="00F80C98">
        <w:rPr>
          <w:i/>
          <w:iCs/>
        </w:rPr>
        <w:instrText xml:space="preserve"> REF _Ref169163402 \h </w:instrText>
      </w:r>
      <w:r w:rsidR="00F80C98">
        <w:rPr>
          <w:i/>
          <w:iCs/>
        </w:rPr>
        <w:instrText xml:space="preserve"> \* MERGEFORMAT </w:instrText>
      </w:r>
      <w:r w:rsidR="00F80C98" w:rsidRPr="00F80C98">
        <w:rPr>
          <w:i/>
          <w:iCs/>
        </w:rPr>
      </w:r>
      <w:r w:rsidR="00F80C98" w:rsidRPr="00F80C98">
        <w:rPr>
          <w:i/>
          <w:iCs/>
        </w:rPr>
        <w:fldChar w:fldCharType="separate"/>
      </w:r>
      <w:r w:rsidR="00040CA9" w:rsidRPr="00040CA9">
        <w:rPr>
          <w:i/>
          <w:iCs/>
          <w:szCs w:val="24"/>
        </w:rPr>
        <w:t xml:space="preserve">Equation </w:t>
      </w:r>
      <w:r w:rsidR="00040CA9" w:rsidRPr="00040CA9">
        <w:rPr>
          <w:i/>
          <w:iCs/>
          <w:noProof/>
          <w:szCs w:val="24"/>
        </w:rPr>
        <w:t>5</w:t>
      </w:r>
      <w:r w:rsidR="00F80C98" w:rsidRPr="00F80C98">
        <w:rPr>
          <w:i/>
          <w:iCs/>
        </w:rPr>
        <w:fldChar w:fldCharType="end"/>
      </w:r>
      <w:r w:rsidR="0041518D">
        <w:t xml:space="preserve"> </w:t>
      </w:r>
      <w:r>
        <w:t>to yield the values for [</w:t>
      </w:r>
      <w:proofErr w:type="spellStart"/>
      <w:proofErr w:type="gramStart"/>
      <w:r>
        <w:t>x</w:t>
      </w:r>
      <w:r w:rsidR="001E3B93">
        <w:t>,</w:t>
      </w:r>
      <w:r>
        <w:t>y</w:t>
      </w:r>
      <w:proofErr w:type="spellEnd"/>
      <w:proofErr w:type="gramEnd"/>
      <w:r>
        <w:t xml:space="preserve">] for the BET.  The value of </w:t>
      </w:r>
      <w:r>
        <w:rPr>
          <w:i/>
          <w:iCs/>
        </w:rPr>
        <w:t>n</w:t>
      </w:r>
      <w:r w:rsidR="000E23C7">
        <w:rPr>
          <w:vertAlign w:val="subscript"/>
        </w:rPr>
        <w:t>a</w:t>
      </w:r>
      <w:r>
        <w:rPr>
          <w:vertAlign w:val="subscript"/>
        </w:rPr>
        <w:t xml:space="preserve"> </w:t>
      </w:r>
      <w:r w:rsidRPr="00812BFE">
        <w:t>for the QM</w:t>
      </w:r>
      <w:r w:rsidR="00167FBA">
        <w:rPr>
          <w:rFonts w:cs="Times New Roman"/>
        </w:rPr>
        <w:t>/ESW</w:t>
      </w:r>
      <w:r w:rsidRPr="00812BFE">
        <w:t xml:space="preserve"> is selected as 1 and thus the </w:t>
      </w:r>
      <w:r w:rsidR="00B52D0A">
        <w:t>answer is the ratio:</w:t>
      </w:r>
      <w:r>
        <w:t xml:space="preserve"> </w:t>
      </w:r>
      <w:proofErr w:type="gramStart"/>
      <w:r>
        <w:rPr>
          <w:i/>
          <w:iCs/>
        </w:rPr>
        <w:t>n</w:t>
      </w:r>
      <w:r w:rsidRPr="00812BFE">
        <w:rPr>
          <w:vertAlign w:val="subscript"/>
        </w:rPr>
        <w:t>m</w:t>
      </w:r>
      <w:r w:rsidR="00B52D0A" w:rsidRPr="00B52D0A">
        <w:t>(</w:t>
      </w:r>
      <w:proofErr w:type="gramEnd"/>
      <w:r w:rsidR="00B52D0A" w:rsidRPr="00B52D0A">
        <w:t>BET)/</w:t>
      </w:r>
      <w:r w:rsidR="00B52D0A" w:rsidRPr="00B52D0A">
        <w:rPr>
          <w:i/>
          <w:iCs/>
        </w:rPr>
        <w:t xml:space="preserve"> </w:t>
      </w:r>
      <w:r w:rsidR="00B52D0A">
        <w:rPr>
          <w:i/>
          <w:iCs/>
        </w:rPr>
        <w:t>n</w:t>
      </w:r>
      <w:r w:rsidR="00B52D0A" w:rsidRPr="00812BFE">
        <w:rPr>
          <w:vertAlign w:val="subscript"/>
        </w:rPr>
        <w:t>m</w:t>
      </w:r>
      <w:r w:rsidR="00B52D0A" w:rsidRPr="00B52D0A">
        <w:t>(</w:t>
      </w:r>
      <w:r w:rsidR="00B52D0A">
        <w:t>QM</w:t>
      </w:r>
      <w:r w:rsidR="00167FBA">
        <w:rPr>
          <w:rFonts w:cs="Times New Roman"/>
        </w:rPr>
        <w:t>/ESW</w:t>
      </w:r>
      <w:r w:rsidR="00B52D0A" w:rsidRPr="00B52D0A">
        <w:t>)</w:t>
      </w:r>
      <w:r w:rsidR="00B52D0A">
        <w:t>.</w:t>
      </w:r>
      <w:r w:rsidRPr="00812BFE">
        <w:t xml:space="preserve"> </w:t>
      </w:r>
      <w:r>
        <w:t xml:space="preserve"> The equations used are (</w:t>
      </w:r>
      <w:r>
        <w:rPr>
          <w:i/>
          <w:iCs/>
        </w:rPr>
        <w:t>x</w:t>
      </w:r>
      <w:r>
        <w:t xml:space="preserve"> on abscissa and </w:t>
      </w:r>
      <w:r>
        <w:rPr>
          <w:i/>
          <w:iCs/>
        </w:rPr>
        <w:t>y</w:t>
      </w:r>
      <w:r>
        <w:t xml:space="preserve"> on</w:t>
      </w:r>
      <w:r w:rsidR="00A2182E">
        <w:t xml:space="preserve"> the</w:t>
      </w:r>
      <w:r>
        <w:t xml:space="preserve"> ordinate)</w:t>
      </w:r>
      <w:r w:rsidR="00942798">
        <w:t xml:space="preserve"> are </w:t>
      </w:r>
      <w:r w:rsidR="00942798" w:rsidRPr="00942798">
        <w:rPr>
          <w:i/>
          <w:iCs/>
        </w:rPr>
        <w:fldChar w:fldCharType="begin"/>
      </w:r>
      <w:r w:rsidR="00942798" w:rsidRPr="00942798">
        <w:rPr>
          <w:i/>
          <w:iCs/>
        </w:rPr>
        <w:instrText xml:space="preserve"> REF _Ref169165661 \h </w:instrText>
      </w:r>
      <w:r w:rsidR="00942798">
        <w:rPr>
          <w:i/>
          <w:iCs/>
        </w:rPr>
        <w:instrText xml:space="preserve"> \* MERGEFORMAT </w:instrText>
      </w:r>
      <w:r w:rsidR="00942798" w:rsidRPr="00942798">
        <w:rPr>
          <w:i/>
          <w:iCs/>
        </w:rPr>
      </w:r>
      <w:r w:rsidR="00942798" w:rsidRPr="00942798">
        <w:rPr>
          <w:i/>
          <w:iCs/>
        </w:rPr>
        <w:fldChar w:fldCharType="separate"/>
      </w:r>
      <w:r w:rsidR="00040CA9" w:rsidRPr="00040CA9">
        <w:rPr>
          <w:i/>
          <w:iCs/>
          <w:szCs w:val="24"/>
        </w:rPr>
        <w:t xml:space="preserve">Equation </w:t>
      </w:r>
      <w:r w:rsidR="00040CA9" w:rsidRPr="00040CA9">
        <w:rPr>
          <w:i/>
          <w:iCs/>
          <w:noProof/>
          <w:szCs w:val="24"/>
        </w:rPr>
        <w:t>9</w:t>
      </w:r>
      <w:r w:rsidR="00942798" w:rsidRPr="00942798">
        <w:rPr>
          <w:i/>
          <w:iCs/>
        </w:rPr>
        <w:fldChar w:fldCharType="end"/>
      </w:r>
      <w:r w:rsidR="00F80C98">
        <w:rPr>
          <w:i/>
          <w:iCs/>
        </w:rPr>
        <w:t>.</w:t>
      </w:r>
    </w:p>
    <w:p w14:paraId="0DDD1CEE" w14:textId="77777777" w:rsidR="00E5068C" w:rsidRPr="00812BFE" w:rsidRDefault="00E5068C" w:rsidP="00543A53">
      <w:pPr>
        <w:pStyle w:val="NoSpacing"/>
      </w:pPr>
    </w:p>
    <w:tbl>
      <w:tblPr>
        <w:tblStyle w:val="TableGrid"/>
        <w:tblW w:w="0" w:type="auto"/>
        <w:tblLook w:val="04A0" w:firstRow="1" w:lastRow="0" w:firstColumn="1" w:lastColumn="0" w:noHBand="0" w:noVBand="1"/>
      </w:tblPr>
      <w:tblGrid>
        <w:gridCol w:w="9350"/>
      </w:tblGrid>
      <w:tr w:rsidR="00E5068C" w14:paraId="7490CB77" w14:textId="77777777" w:rsidTr="00E80D26">
        <w:tc>
          <w:tcPr>
            <w:tcW w:w="9350" w:type="dxa"/>
          </w:tcPr>
          <w:p w14:paraId="56A1A2DA" w14:textId="1AF02A48" w:rsidR="00942798" w:rsidRDefault="001E3B93" w:rsidP="00942798">
            <w:pPr>
              <w:pStyle w:val="NoSpacing"/>
              <w:keepNext/>
              <w:jc w:val="center"/>
            </w:pPr>
            <w:r w:rsidRPr="00D83F0C">
              <w:rPr>
                <w:position w:val="-82"/>
              </w:rPr>
              <w:object w:dxaOrig="5760" w:dyaOrig="1800" w14:anchorId="1D9DC7D4">
                <v:shape id="_x0000_i1033" type="#_x0000_t75" style="width:217.5pt;height:67.15pt" o:ole="">
                  <v:imagedata r:id="rId34" o:title=""/>
                </v:shape>
                <o:OLEObject Type="Embed" ProgID="Equation.DSMT4" ShapeID="_x0000_i1033" DrawAspect="Content" ObjectID="_1782235236" r:id="rId35"/>
              </w:object>
            </w:r>
          </w:p>
          <w:p w14:paraId="2E224A80" w14:textId="5BB9985C" w:rsidR="00E5068C" w:rsidRPr="000C0815" w:rsidRDefault="00942798" w:rsidP="00942798">
            <w:pPr>
              <w:pStyle w:val="Caption"/>
              <w:jc w:val="center"/>
              <w:rPr>
                <w:szCs w:val="24"/>
              </w:rPr>
            </w:pPr>
            <w:bookmarkStart w:id="51" w:name="_Ref169165661"/>
            <w:r w:rsidRPr="00942798">
              <w:rPr>
                <w:sz w:val="24"/>
                <w:szCs w:val="24"/>
              </w:rPr>
              <w:t xml:space="preserve">Equation </w:t>
            </w:r>
            <w:r w:rsidRPr="00942798">
              <w:rPr>
                <w:sz w:val="24"/>
                <w:szCs w:val="24"/>
              </w:rPr>
              <w:fldChar w:fldCharType="begin"/>
            </w:r>
            <w:r w:rsidRPr="00942798">
              <w:rPr>
                <w:sz w:val="24"/>
                <w:szCs w:val="24"/>
              </w:rPr>
              <w:instrText xml:space="preserve"> SEQ Equation \* ARABIC </w:instrText>
            </w:r>
            <w:r w:rsidRPr="00942798">
              <w:rPr>
                <w:sz w:val="24"/>
                <w:szCs w:val="24"/>
              </w:rPr>
              <w:fldChar w:fldCharType="separate"/>
            </w:r>
            <w:r w:rsidR="00040CA9">
              <w:rPr>
                <w:noProof/>
                <w:sz w:val="24"/>
                <w:szCs w:val="24"/>
              </w:rPr>
              <w:t>9</w:t>
            </w:r>
            <w:r w:rsidRPr="00942798">
              <w:rPr>
                <w:sz w:val="24"/>
                <w:szCs w:val="24"/>
              </w:rPr>
              <w:fldChar w:fldCharType="end"/>
            </w:r>
            <w:bookmarkEnd w:id="51"/>
            <w:r w:rsidR="00E5068C" w:rsidRPr="00942798">
              <w:rPr>
                <w:sz w:val="24"/>
                <w:szCs w:val="24"/>
              </w:rPr>
              <w:t xml:space="preserve"> conversion equation for QM</w:t>
            </w:r>
            <w:r w:rsidR="00167FBA" w:rsidRPr="007665F2">
              <w:rPr>
                <w:rFonts w:cs="Times New Roman"/>
                <w:sz w:val="24"/>
                <w:szCs w:val="24"/>
              </w:rPr>
              <w:t>/ESW</w:t>
            </w:r>
            <w:r w:rsidR="00E5068C" w:rsidRPr="00942798">
              <w:rPr>
                <w:sz w:val="24"/>
                <w:szCs w:val="24"/>
              </w:rPr>
              <w:t xml:space="preserve"> to BET</w:t>
            </w:r>
            <w:r w:rsidR="00E5068C" w:rsidRPr="000C0815">
              <w:rPr>
                <w:szCs w:val="24"/>
              </w:rPr>
              <w:t>.</w:t>
            </w:r>
          </w:p>
        </w:tc>
      </w:tr>
    </w:tbl>
    <w:p w14:paraId="71DA928F" w14:textId="77777777" w:rsidR="00E5068C" w:rsidRDefault="00E5068C" w:rsidP="00543A53">
      <w:pPr>
        <w:pStyle w:val="NoSpacing"/>
      </w:pPr>
    </w:p>
    <w:p w14:paraId="69355B60" w14:textId="77777777" w:rsidR="00A2182E" w:rsidRDefault="00A2182E" w:rsidP="00543A53">
      <w:pPr>
        <w:pStyle w:val="NoSpacing"/>
      </w:pPr>
      <w:r>
        <w:t>There are three tables presented.  They are:</w:t>
      </w:r>
    </w:p>
    <w:p w14:paraId="40CAB66C" w14:textId="77777777" w:rsidR="000E23C7" w:rsidRDefault="000E23C7" w:rsidP="00543A53">
      <w:pPr>
        <w:pStyle w:val="NoSpacing"/>
      </w:pPr>
    </w:p>
    <w:p w14:paraId="3EFF7394" w14:textId="77777777" w:rsidR="00A2182E" w:rsidRDefault="00A92560" w:rsidP="002B7062">
      <w:pPr>
        <w:pStyle w:val="NoSpacing"/>
        <w:ind w:left="720"/>
      </w:pPr>
      <w:r>
        <w:rPr>
          <w:b/>
          <w:bCs/>
        </w:rPr>
        <w:t xml:space="preserve">Table II - </w:t>
      </w:r>
      <w:r w:rsidR="00A2182E">
        <w:t xml:space="preserve">The BET is found the traditional way with the ordinate transform and limited to the range </w:t>
      </w:r>
      <w:r w:rsidR="00A2182E">
        <w:rPr>
          <w:i/>
          <w:iCs/>
        </w:rPr>
        <w:t>X</w:t>
      </w:r>
      <w:r w:rsidR="00A2182E">
        <w:t xml:space="preserve"> = 0.01 to 0.35, called Sing, et.al.</w:t>
      </w:r>
      <w:r w:rsidR="00B52D0A">
        <w:t xml:space="preserve"> (or “old”)</w:t>
      </w:r>
      <w:r w:rsidR="00A2182E">
        <w:t xml:space="preserve"> criterion</w:t>
      </w:r>
    </w:p>
    <w:p w14:paraId="6901B859" w14:textId="77777777" w:rsidR="00A92560" w:rsidRDefault="00A92560" w:rsidP="00543A53">
      <w:pPr>
        <w:pStyle w:val="NoSpacing"/>
      </w:pPr>
    </w:p>
    <w:p w14:paraId="5ABC5A0B" w14:textId="2F04C23B" w:rsidR="00A92560" w:rsidRDefault="00A92560" w:rsidP="002B7062">
      <w:pPr>
        <w:pStyle w:val="NoSpacing"/>
        <w:ind w:left="720"/>
      </w:pPr>
      <w:r w:rsidRPr="00D22D82">
        <w:rPr>
          <w:b/>
          <w:bCs/>
        </w:rPr>
        <w:t xml:space="preserve">Table III - </w:t>
      </w:r>
      <w:r w:rsidR="00A2182E">
        <w:t xml:space="preserve">The BET is found using the </w:t>
      </w:r>
      <w:r w:rsidR="00CC7E56">
        <w:t xml:space="preserve">traditional ordinate transform but uses the </w:t>
      </w:r>
      <w:r w:rsidR="00B52D0A">
        <w:t>“</w:t>
      </w:r>
      <w:r w:rsidR="00A2182E">
        <w:t>Rouq</w:t>
      </w:r>
      <w:r w:rsidR="005C7A49">
        <w:t>u</w:t>
      </w:r>
      <w:r w:rsidR="00A2182E">
        <w:t>erol</w:t>
      </w:r>
      <w:r w:rsidR="00B52D0A">
        <w:t>”</w:t>
      </w:r>
      <w:r w:rsidR="005C7A49">
        <w:t xml:space="preserve"> criterion for the upper pressure</w:t>
      </w:r>
      <w:r w:rsidR="00CC7E56">
        <w:t>.</w:t>
      </w:r>
      <w:r w:rsidR="00B52D0A">
        <w:t xml:space="preserve"> </w:t>
      </w:r>
      <w:r w:rsidR="004A137E">
        <w:t xml:space="preserve"> </w:t>
      </w:r>
      <w:r w:rsidR="00D22D82">
        <w:t xml:space="preserve">Specifies the high pressure is at </w:t>
      </w:r>
      <w:r w:rsidR="00D22D82" w:rsidRPr="00D22D82">
        <w:rPr>
          <w:b/>
          <w:bCs/>
        </w:rPr>
        <w:t>max [</w:t>
      </w:r>
      <w:r w:rsidRPr="00D22D82">
        <w:rPr>
          <w:i/>
          <w:iCs/>
        </w:rPr>
        <w:t>n</w:t>
      </w:r>
      <w:r w:rsidRPr="00D22D82">
        <w:rPr>
          <w:vertAlign w:val="subscript"/>
        </w:rPr>
        <w:t>ads</w:t>
      </w:r>
      <w:r w:rsidR="004A137E">
        <w:rPr>
          <w:vertAlign w:val="subscript"/>
        </w:rPr>
        <w:t xml:space="preserve"> </w:t>
      </w:r>
      <w:r>
        <w:t>(1-</w:t>
      </w:r>
      <w:proofErr w:type="gramStart"/>
      <w:r w:rsidR="004A137E">
        <w:rPr>
          <w:i/>
          <w:iCs/>
        </w:rPr>
        <w:t>X</w:t>
      </w:r>
      <w:r w:rsidRPr="00D22D82">
        <w:rPr>
          <w:vertAlign w:val="subscript"/>
        </w:rPr>
        <w:t xml:space="preserve"> </w:t>
      </w:r>
      <w:r>
        <w:t>)</w:t>
      </w:r>
      <w:proofErr w:type="gramEnd"/>
      <w:r w:rsidR="00D22D82">
        <w:t>.]</w:t>
      </w:r>
      <w:r>
        <w:t xml:space="preserve">  There is no lower</w:t>
      </w:r>
      <w:r w:rsidR="00D22D82">
        <w:t xml:space="preserve"> pressure is specified.  However the traditional </w:t>
      </w:r>
      <w:proofErr w:type="gramStart"/>
      <w:r w:rsidR="00D22D82" w:rsidRPr="00D22D82">
        <w:rPr>
          <w:i/>
          <w:iCs/>
        </w:rPr>
        <w:t>X</w:t>
      </w:r>
      <w:r w:rsidR="00D22D82">
        <w:t xml:space="preserve"> </w:t>
      </w:r>
      <w:r w:rsidR="003557D5">
        <w:t xml:space="preserve"> </w:t>
      </w:r>
      <w:r w:rsidR="00D22D82" w:rsidRPr="00D22D82">
        <w:rPr>
          <w:rFonts w:cs="Times New Roman"/>
        </w:rPr>
        <w:t>≥</w:t>
      </w:r>
      <w:proofErr w:type="gramEnd"/>
      <w:r w:rsidR="00D22D82">
        <w:t xml:space="preserve"> 0.01 is implied.  Most commercial instrument</w:t>
      </w:r>
      <w:r w:rsidR="003931B7">
        <w:t>s</w:t>
      </w:r>
      <w:r w:rsidR="00D22D82">
        <w:t xml:space="preserve"> do not measure below this value anyway</w:t>
      </w:r>
      <w:r>
        <w:t xml:space="preserve">. </w:t>
      </w:r>
    </w:p>
    <w:p w14:paraId="3558E98E" w14:textId="77777777" w:rsidR="003931B7" w:rsidRDefault="003931B7" w:rsidP="00543A53">
      <w:pPr>
        <w:pStyle w:val="NoSpacing"/>
      </w:pPr>
    </w:p>
    <w:p w14:paraId="06D75069" w14:textId="070BA64C" w:rsidR="005C7A49" w:rsidRDefault="00A92560" w:rsidP="002B7062">
      <w:pPr>
        <w:pStyle w:val="NoSpacing"/>
        <w:ind w:left="720"/>
      </w:pPr>
      <w:r>
        <w:rPr>
          <w:b/>
          <w:bCs/>
        </w:rPr>
        <w:t xml:space="preserve">Table IV - </w:t>
      </w:r>
      <w:r w:rsidR="005C7A49">
        <w:t xml:space="preserve">The BET is fit using a non-linear least square routine (NLLS) </w:t>
      </w:r>
      <w:r w:rsidR="00B52D0A">
        <w:t xml:space="preserve">normally </w:t>
      </w:r>
      <w:r w:rsidR="005C7A49">
        <w:t>with the same criterion as in</w:t>
      </w:r>
      <w:r w:rsidR="00127E8D">
        <w:t xml:space="preserve"> </w:t>
      </w:r>
      <w:r w:rsidR="00127E8D">
        <w:rPr>
          <w:b/>
          <w:bCs/>
        </w:rPr>
        <w:t>III</w:t>
      </w:r>
      <w:r w:rsidR="005C7A49">
        <w:t xml:space="preserve"> above</w:t>
      </w:r>
      <w:r w:rsidR="00B52D0A">
        <w:t>.  Some researchers expand the parameter count wi</w:t>
      </w:r>
      <w:r w:rsidR="0077073A">
        <w:t>th</w:t>
      </w:r>
      <w:r w:rsidR="00B52D0A">
        <w:t xml:space="preserve"> multiple additional BET fits or other modifications, which maintain the BET framework.</w:t>
      </w:r>
    </w:p>
    <w:p w14:paraId="0D3492A8" w14:textId="77777777" w:rsidR="00B52D0A" w:rsidRDefault="00B52D0A" w:rsidP="00543A53">
      <w:pPr>
        <w:pStyle w:val="NoSpacing"/>
      </w:pPr>
    </w:p>
    <w:p w14:paraId="34EAE796" w14:textId="628957FB" w:rsidR="005C7A49" w:rsidRDefault="00140E44" w:rsidP="00543A53">
      <w:pPr>
        <w:pStyle w:val="NoSpacing"/>
      </w:pPr>
      <w:r>
        <w:lastRenderedPageBreak/>
        <w:t xml:space="preserve">The limit </w:t>
      </w:r>
      <w:r>
        <w:rPr>
          <w:i/>
          <w:iCs/>
        </w:rPr>
        <w:t xml:space="preserve">X </w:t>
      </w:r>
      <w:r>
        <w:t>&gt; 0.01 obviously excludes the high</w:t>
      </w:r>
      <w:r w:rsidR="00736013">
        <w:t xml:space="preserve"> (HV)</w:t>
      </w:r>
      <w:r>
        <w:t xml:space="preserve"> and ultrahigh vacuum</w:t>
      </w:r>
      <w:r w:rsidR="00736013">
        <w:t xml:space="preserve"> (UHV)</w:t>
      </w:r>
      <w:r>
        <w:t xml:space="preserve"> and thus misses all the important energy information needed to make a th</w:t>
      </w:r>
      <w:r w:rsidR="0077073A">
        <w:t>o</w:t>
      </w:r>
      <w:r>
        <w:t xml:space="preserve">rough analysis.  </w:t>
      </w:r>
      <w:r w:rsidR="0077073A">
        <w:t>This means</w:t>
      </w:r>
      <w:r>
        <w:t xml:space="preserve">, </w:t>
      </w:r>
      <w:r w:rsidR="003931B7">
        <w:t>according to</w:t>
      </w:r>
      <w:r>
        <w:t xml:space="preserve"> QM</w:t>
      </w:r>
      <w:r w:rsidR="007665F2">
        <w:rPr>
          <w:rFonts w:cs="Times New Roman"/>
        </w:rPr>
        <w:t>/ESW</w:t>
      </w:r>
      <w:r>
        <w:t xml:space="preserve">, porosity onset of any type </w:t>
      </w:r>
      <w:r w:rsidR="002B7062">
        <w:t>is questionable</w:t>
      </w:r>
      <w:r w:rsidR="00275C3D">
        <w:t>,</w:t>
      </w:r>
      <w:r>
        <w:t xml:space="preserve"> except for Gurvitsch rule</w:t>
      </w:r>
      <w:r w:rsidR="00553A7F">
        <w:t>, which does not correct for external surface</w:t>
      </w:r>
      <w:r>
        <w:t>.</w:t>
      </w:r>
    </w:p>
    <w:p w14:paraId="32C333F1" w14:textId="77777777" w:rsidR="00140E44" w:rsidRPr="00140E44" w:rsidRDefault="00140E44" w:rsidP="00543A53">
      <w:pPr>
        <w:pStyle w:val="NoSpacing"/>
      </w:pPr>
    </w:p>
    <w:p w14:paraId="05AC8536" w14:textId="77777777" w:rsidR="00D00CF8" w:rsidRPr="002B7062" w:rsidRDefault="005C7A49" w:rsidP="00981E49">
      <w:pPr>
        <w:pStyle w:val="NoSpacing"/>
        <w:outlineLvl w:val="1"/>
        <w:rPr>
          <w:i/>
          <w:iCs/>
        </w:rPr>
      </w:pPr>
      <w:bookmarkStart w:id="52" w:name="_Toc171582144"/>
      <w:r w:rsidRPr="002B7062">
        <w:rPr>
          <w:i/>
          <w:iCs/>
        </w:rPr>
        <w:t>How to read the tables:</w:t>
      </w:r>
      <w:bookmarkEnd w:id="52"/>
    </w:p>
    <w:p w14:paraId="467F283B" w14:textId="77777777" w:rsidR="00B52D0A" w:rsidRPr="00140E44" w:rsidRDefault="00B52D0A" w:rsidP="00543A53">
      <w:pPr>
        <w:pStyle w:val="NoSpacing"/>
        <w:rPr>
          <w:b/>
          <w:bCs/>
        </w:rPr>
      </w:pPr>
    </w:p>
    <w:p w14:paraId="15446A91" w14:textId="55AFDDE8" w:rsidR="003931B7" w:rsidRDefault="00FD5884" w:rsidP="00543A53">
      <w:pPr>
        <w:pStyle w:val="NoSpacing"/>
        <w:rPr>
          <w:rFonts w:cs="Times New Roman"/>
          <w:iCs/>
        </w:rPr>
      </w:pPr>
      <w:r>
        <w:t xml:space="preserve">In </w:t>
      </w:r>
      <w:r w:rsidR="00CD77AB" w:rsidRPr="00CD77AB">
        <w:rPr>
          <w:b/>
          <w:bCs/>
        </w:rPr>
        <w:t xml:space="preserve">all </w:t>
      </w:r>
      <w:r w:rsidRPr="00CD77AB">
        <w:rPr>
          <w:b/>
          <w:bCs/>
        </w:rPr>
        <w:t>tables</w:t>
      </w:r>
      <w:r>
        <w:t>, t</w:t>
      </w:r>
      <w:r w:rsidR="005C7A49">
        <w:t xml:space="preserve">he </w:t>
      </w:r>
      <w:r w:rsidR="0077073A">
        <w:t>1</w:t>
      </w:r>
      <w:r w:rsidR="0077073A" w:rsidRPr="0077073A">
        <w:rPr>
          <w:vertAlign w:val="superscript"/>
        </w:rPr>
        <w:t>st</w:t>
      </w:r>
      <w:r w:rsidR="0077073A">
        <w:t xml:space="preserve"> and 2</w:t>
      </w:r>
      <w:r w:rsidR="0077073A" w:rsidRPr="0077073A">
        <w:rPr>
          <w:vertAlign w:val="superscript"/>
        </w:rPr>
        <w:t>nd</w:t>
      </w:r>
      <w:r w:rsidR="0077073A">
        <w:t xml:space="preserve"> </w:t>
      </w:r>
      <w:r w:rsidR="003E1958">
        <w:t>columns</w:t>
      </w:r>
      <w:r w:rsidR="0077073A">
        <w:t xml:space="preserve"> </w:t>
      </w:r>
      <w:r w:rsidR="005C7A49">
        <w:t xml:space="preserve">are </w:t>
      </w:r>
      <w:r w:rsidR="005C7A49">
        <w:rPr>
          <w:rFonts w:cs="Times New Roman"/>
        </w:rPr>
        <w:t>χ</w:t>
      </w:r>
      <w:r w:rsidR="005C7A49" w:rsidRPr="00B52D0A">
        <w:rPr>
          <w:rFonts w:cs="Times New Roman"/>
          <w:vertAlign w:val="subscript"/>
        </w:rPr>
        <w:t>ς</w:t>
      </w:r>
      <w:r w:rsidR="005C7A49">
        <w:t xml:space="preserve"> and </w:t>
      </w:r>
      <w:proofErr w:type="spellStart"/>
      <w:r w:rsidR="005C7A49" w:rsidRPr="007841A9">
        <w:rPr>
          <w:rFonts w:cs="Times New Roman"/>
          <w:i/>
        </w:rPr>
        <w:t>E̅</w:t>
      </w:r>
      <w:r w:rsidR="005C7A49">
        <w:rPr>
          <w:rFonts w:cs="Times New Roman"/>
          <w:iCs/>
          <w:vertAlign w:val="subscript"/>
        </w:rPr>
        <w:t>a</w:t>
      </w:r>
      <w:proofErr w:type="spellEnd"/>
      <w:r w:rsidR="005C7A49">
        <w:rPr>
          <w:rFonts w:cs="Times New Roman"/>
          <w:iCs/>
        </w:rPr>
        <w:t>/kJ mol</w:t>
      </w:r>
      <w:r w:rsidR="005C7A49" w:rsidRPr="005C7A49">
        <w:rPr>
          <w:rFonts w:cs="Times New Roman"/>
          <w:iCs/>
          <w:vertAlign w:val="superscript"/>
        </w:rPr>
        <w:t>-1</w:t>
      </w:r>
      <w:r w:rsidR="005C7A49">
        <w:rPr>
          <w:rFonts w:cs="Times New Roman"/>
          <w:iCs/>
        </w:rPr>
        <w:t xml:space="preserve">.  </w:t>
      </w:r>
      <w:r w:rsidR="0077073A">
        <w:rPr>
          <w:rFonts w:cs="Times New Roman"/>
          <w:iCs/>
        </w:rPr>
        <w:t>The 3</w:t>
      </w:r>
      <w:r w:rsidR="0077073A" w:rsidRPr="0077073A">
        <w:rPr>
          <w:rFonts w:cs="Times New Roman"/>
          <w:iCs/>
          <w:vertAlign w:val="superscript"/>
        </w:rPr>
        <w:t>rd</w:t>
      </w:r>
      <w:r w:rsidR="0077073A">
        <w:rPr>
          <w:rFonts w:cs="Times New Roman"/>
          <w:iCs/>
        </w:rPr>
        <w:t xml:space="preserve"> is the ratio of </w:t>
      </w:r>
      <w:proofErr w:type="gramStart"/>
      <w:r w:rsidR="0077073A">
        <w:rPr>
          <w:rFonts w:cs="Times New Roman"/>
          <w:i/>
        </w:rPr>
        <w:t>n</w:t>
      </w:r>
      <w:r w:rsidR="0077073A" w:rsidRPr="0077073A">
        <w:rPr>
          <w:rFonts w:cs="Times New Roman"/>
          <w:iCs/>
          <w:vertAlign w:val="subscript"/>
        </w:rPr>
        <w:t>m</w:t>
      </w:r>
      <w:r w:rsidR="0077073A">
        <w:rPr>
          <w:rFonts w:cs="Times New Roman"/>
          <w:iCs/>
        </w:rPr>
        <w:t>(</w:t>
      </w:r>
      <w:proofErr w:type="gramEnd"/>
      <w:r w:rsidR="0077073A">
        <w:rPr>
          <w:rFonts w:cs="Times New Roman"/>
          <w:iCs/>
        </w:rPr>
        <w:t>BET)</w:t>
      </w:r>
      <w:r w:rsidR="004A137E" w:rsidRPr="004A137E">
        <w:rPr>
          <w:rFonts w:cs="Times New Roman"/>
          <w:b/>
          <w:bCs/>
          <w:iCs/>
        </w:rPr>
        <w:t>:</w:t>
      </w:r>
      <w:r w:rsidR="0077073A">
        <w:rPr>
          <w:rFonts w:cs="Times New Roman"/>
          <w:iCs/>
        </w:rPr>
        <w:t xml:space="preserve"> </w:t>
      </w:r>
      <w:r w:rsidR="0077073A">
        <w:rPr>
          <w:rFonts w:cs="Times New Roman"/>
          <w:i/>
        </w:rPr>
        <w:t>n</w:t>
      </w:r>
      <w:r w:rsidR="0077073A" w:rsidRPr="0077073A">
        <w:rPr>
          <w:rFonts w:cs="Times New Roman"/>
          <w:iCs/>
          <w:vertAlign w:val="subscript"/>
        </w:rPr>
        <w:t>m</w:t>
      </w:r>
      <w:r w:rsidR="0077073A">
        <w:rPr>
          <w:rFonts w:cs="Times New Roman"/>
          <w:iCs/>
        </w:rPr>
        <w:t>(</w:t>
      </w:r>
      <w:r w:rsidR="004A137E">
        <w:rPr>
          <w:rFonts w:cs="Times New Roman"/>
          <w:iCs/>
        </w:rPr>
        <w:t>χ</w:t>
      </w:r>
      <w:r w:rsidR="0077073A">
        <w:rPr>
          <w:rFonts w:cs="Times New Roman"/>
          <w:iCs/>
        </w:rPr>
        <w:t xml:space="preserve">).  </w:t>
      </w:r>
      <w:r w:rsidR="005C7A49">
        <w:rPr>
          <w:rFonts w:cs="Times New Roman"/>
          <w:iCs/>
        </w:rPr>
        <w:t>Since</w:t>
      </w:r>
      <w:r w:rsidR="0077073A">
        <w:rPr>
          <w:rFonts w:cs="Times New Roman"/>
          <w:iCs/>
        </w:rPr>
        <w:t xml:space="preserve"> </w:t>
      </w:r>
      <w:r w:rsidR="0077073A">
        <w:rPr>
          <w:rFonts w:cs="Times New Roman"/>
        </w:rPr>
        <w:t>χ</w:t>
      </w:r>
      <w:r w:rsidR="0077073A" w:rsidRPr="00B52D0A">
        <w:rPr>
          <w:rFonts w:cs="Times New Roman"/>
          <w:vertAlign w:val="subscript"/>
        </w:rPr>
        <w:t>ς</w:t>
      </w:r>
      <w:r w:rsidR="0077073A">
        <w:rPr>
          <w:rFonts w:cs="Times New Roman"/>
        </w:rPr>
        <w:t xml:space="preserve"> is not available</w:t>
      </w:r>
      <w:r w:rsidR="005C7A49">
        <w:rPr>
          <w:rFonts w:cs="Times New Roman"/>
          <w:iCs/>
        </w:rPr>
        <w:t xml:space="preserve"> when using the BET, then the value of the “</w:t>
      </w:r>
      <w:r w:rsidR="005C7A49">
        <w:rPr>
          <w:rFonts w:cs="Times New Roman"/>
          <w:i/>
        </w:rPr>
        <w:t>C</w:t>
      </w:r>
      <w:r w:rsidR="005C7A49">
        <w:rPr>
          <w:rFonts w:cs="Times New Roman"/>
          <w:iCs/>
        </w:rPr>
        <w:t xml:space="preserve">” constant </w:t>
      </w:r>
      <w:r w:rsidR="0077073A">
        <w:rPr>
          <w:rFonts w:cs="Times New Roman"/>
          <w:iCs/>
        </w:rPr>
        <w:t xml:space="preserve">in </w:t>
      </w:r>
      <w:r w:rsidR="00327F58">
        <w:rPr>
          <w:rFonts w:cs="Times New Roman"/>
          <w:iCs/>
        </w:rPr>
        <w:t>4</w:t>
      </w:r>
      <w:r w:rsidR="00327F58" w:rsidRPr="00327F58">
        <w:rPr>
          <w:rFonts w:cs="Times New Roman"/>
          <w:iCs/>
          <w:vertAlign w:val="superscript"/>
        </w:rPr>
        <w:t>th</w:t>
      </w:r>
      <w:r w:rsidR="00327F58">
        <w:rPr>
          <w:rFonts w:cs="Times New Roman"/>
          <w:iCs/>
        </w:rPr>
        <w:t xml:space="preserve"> column </w:t>
      </w:r>
      <w:r w:rsidR="005C7A49">
        <w:rPr>
          <w:rFonts w:cs="Times New Roman"/>
          <w:iCs/>
        </w:rPr>
        <w:t xml:space="preserve">is used to look up the </w:t>
      </w:r>
      <w:r w:rsidR="0077073A">
        <w:rPr>
          <w:rFonts w:cs="Times New Roman"/>
          <w:iCs/>
        </w:rPr>
        <w:t xml:space="preserve">first </w:t>
      </w:r>
      <w:r w:rsidR="005C7A49">
        <w:rPr>
          <w:rFonts w:cs="Times New Roman"/>
          <w:iCs/>
        </w:rPr>
        <w:t>two items</w:t>
      </w:r>
      <w:r w:rsidR="00CD77AB">
        <w:rPr>
          <w:rFonts w:cs="Times New Roman"/>
          <w:iCs/>
        </w:rPr>
        <w:t>.  T</w:t>
      </w:r>
      <w:r w:rsidR="0077073A">
        <w:rPr>
          <w:rFonts w:cs="Times New Roman"/>
          <w:iCs/>
        </w:rPr>
        <w:t xml:space="preserve">he 5th column </w:t>
      </w:r>
      <w:r w:rsidR="00327F58">
        <w:rPr>
          <w:rFonts w:cs="Times New Roman"/>
          <w:iCs/>
        </w:rPr>
        <w:t xml:space="preserve">is the standard </w:t>
      </w:r>
      <w:r w:rsidR="003E1958">
        <w:rPr>
          <w:rFonts w:cs="Times New Roman"/>
          <w:iCs/>
        </w:rPr>
        <w:t>deviation</w:t>
      </w:r>
      <w:r w:rsidR="00327F58">
        <w:rPr>
          <w:rFonts w:cs="Times New Roman"/>
          <w:iCs/>
        </w:rPr>
        <w:t xml:space="preserve"> of the BET versus the QM</w:t>
      </w:r>
      <w:r w:rsidR="007665F2">
        <w:rPr>
          <w:rFonts w:cs="Times New Roman"/>
        </w:rPr>
        <w:t>/ESW</w:t>
      </w:r>
      <w:r w:rsidR="00327F58">
        <w:rPr>
          <w:rFonts w:cs="Times New Roman"/>
          <w:iCs/>
        </w:rPr>
        <w:t xml:space="preserve"> only over the range specified. </w:t>
      </w:r>
    </w:p>
    <w:p w14:paraId="5D7FC694" w14:textId="77777777" w:rsidR="00CD77AB" w:rsidRDefault="00CD77AB" w:rsidP="00543A53">
      <w:pPr>
        <w:pStyle w:val="NoSpacing"/>
        <w:rPr>
          <w:rFonts w:cs="Times New Roman"/>
          <w:iCs/>
        </w:rPr>
      </w:pPr>
    </w:p>
    <w:p w14:paraId="087DB70F" w14:textId="33EAC4FF" w:rsidR="00D122C9" w:rsidRDefault="00CD77AB" w:rsidP="00543A53">
      <w:pPr>
        <w:pStyle w:val="NoSpacing"/>
        <w:rPr>
          <w:rFonts w:cs="Times New Roman"/>
          <w:iCs/>
        </w:rPr>
      </w:pPr>
      <w:r>
        <w:rPr>
          <w:rFonts w:cs="Times New Roman"/>
          <w:iCs/>
        </w:rPr>
        <w:t xml:space="preserve">The range specified for </w:t>
      </w:r>
      <w:r w:rsidRPr="00CD77AB">
        <w:rPr>
          <w:rFonts w:cs="Times New Roman"/>
          <w:b/>
          <w:bCs/>
          <w:iCs/>
        </w:rPr>
        <w:t>Table I</w:t>
      </w:r>
      <w:r w:rsidR="00D122C9">
        <w:rPr>
          <w:rFonts w:cs="Times New Roman"/>
          <w:b/>
          <w:bCs/>
          <w:iCs/>
        </w:rPr>
        <w:t>I</w:t>
      </w:r>
      <w:r>
        <w:rPr>
          <w:rFonts w:cs="Times New Roman"/>
          <w:iCs/>
        </w:rPr>
        <w:t xml:space="preserve"> is </w:t>
      </w:r>
      <w:r>
        <w:rPr>
          <w:rFonts w:cs="Times New Roman"/>
          <w:i/>
        </w:rPr>
        <w:t xml:space="preserve">X = </w:t>
      </w:r>
      <w:r>
        <w:rPr>
          <w:rFonts w:cs="Times New Roman"/>
          <w:iCs/>
        </w:rPr>
        <w:t xml:space="preserve">0.01to 0.05 for the low value and </w:t>
      </w:r>
      <w:r>
        <w:rPr>
          <w:rFonts w:cs="Times New Roman"/>
          <w:i/>
        </w:rPr>
        <w:t xml:space="preserve">X = </w:t>
      </w:r>
      <w:r>
        <w:rPr>
          <w:rFonts w:cs="Times New Roman"/>
          <w:iCs/>
        </w:rPr>
        <w:t xml:space="preserve">0.35 for the high </w:t>
      </w:r>
    </w:p>
    <w:p w14:paraId="2561CAB6" w14:textId="1D736E93" w:rsidR="00CD77AB" w:rsidRDefault="00CD77AB" w:rsidP="00543A53">
      <w:pPr>
        <w:pStyle w:val="NoSpacing"/>
        <w:rPr>
          <w:rFonts w:cs="Times New Roman"/>
          <w:iCs/>
        </w:rPr>
      </w:pPr>
      <w:r>
        <w:rPr>
          <w:rFonts w:cs="Times New Roman"/>
          <w:iCs/>
        </w:rPr>
        <w:t>value.</w:t>
      </w:r>
      <w:r w:rsidR="00D122C9">
        <w:rPr>
          <w:rFonts w:cs="Times New Roman"/>
          <w:iCs/>
        </w:rPr>
        <w:t xml:space="preserve">  This convention is referred to here as the Sing or “old” convention.</w:t>
      </w:r>
    </w:p>
    <w:p w14:paraId="60855B72" w14:textId="77777777" w:rsidR="003931B7" w:rsidRDefault="003931B7" w:rsidP="00543A53">
      <w:pPr>
        <w:pStyle w:val="NoSpacing"/>
        <w:rPr>
          <w:rFonts w:cs="Times New Roman"/>
          <w:iCs/>
        </w:rPr>
      </w:pPr>
    </w:p>
    <w:p w14:paraId="5A264A13" w14:textId="56E0DFB4" w:rsidR="00D122C9" w:rsidRPr="00D122C9" w:rsidRDefault="00D122C9" w:rsidP="00543A53">
      <w:pPr>
        <w:pStyle w:val="NoSpacing"/>
        <w:rPr>
          <w:rFonts w:cs="Times New Roman"/>
          <w:iCs/>
        </w:rPr>
      </w:pPr>
      <w:r>
        <w:rPr>
          <w:rFonts w:cs="Times New Roman"/>
          <w:iCs/>
        </w:rPr>
        <w:t xml:space="preserve">In </w:t>
      </w:r>
      <w:r>
        <w:rPr>
          <w:rFonts w:cs="Times New Roman"/>
          <w:b/>
          <w:bCs/>
          <w:iCs/>
        </w:rPr>
        <w:t>Table II</w:t>
      </w:r>
      <w:r>
        <w:rPr>
          <w:rFonts w:cs="Times New Roman"/>
          <w:iCs/>
        </w:rPr>
        <w:t xml:space="preserve"> the 6</w:t>
      </w:r>
      <w:r w:rsidRPr="00D122C9">
        <w:rPr>
          <w:rFonts w:cs="Times New Roman"/>
          <w:iCs/>
          <w:vertAlign w:val="superscript"/>
        </w:rPr>
        <w:t>th</w:t>
      </w:r>
      <w:r>
        <w:rPr>
          <w:rFonts w:cs="Times New Roman"/>
          <w:iCs/>
        </w:rPr>
        <w:t xml:space="preserve"> column is the standard deviation of the BET versus QM</w:t>
      </w:r>
      <w:r w:rsidR="007665F2">
        <w:rPr>
          <w:rFonts w:cs="Times New Roman"/>
        </w:rPr>
        <w:t>/ESW</w:t>
      </w:r>
      <w:r>
        <w:rPr>
          <w:rFonts w:cs="Times New Roman"/>
          <w:iCs/>
        </w:rPr>
        <w:t xml:space="preserve"> divided by the data range as specified by being useable.</w:t>
      </w:r>
    </w:p>
    <w:p w14:paraId="0B61DC01" w14:textId="77777777" w:rsidR="00D122C9" w:rsidRDefault="00D122C9" w:rsidP="00543A53">
      <w:pPr>
        <w:pStyle w:val="NoSpacing"/>
        <w:rPr>
          <w:rFonts w:cs="Times New Roman"/>
          <w:iCs/>
        </w:rPr>
      </w:pPr>
    </w:p>
    <w:p w14:paraId="6A966039" w14:textId="7CF1F409" w:rsidR="00D122C9" w:rsidRDefault="00CD77AB" w:rsidP="00D122C9">
      <w:pPr>
        <w:pStyle w:val="NoSpacing"/>
        <w:rPr>
          <w:rFonts w:cs="Times New Roman"/>
          <w:iCs/>
        </w:rPr>
      </w:pPr>
      <w:r>
        <w:rPr>
          <w:rFonts w:cs="Times New Roman"/>
          <w:iCs/>
        </w:rPr>
        <w:t>for</w:t>
      </w:r>
      <w:r w:rsidR="003931B7">
        <w:rPr>
          <w:rFonts w:cs="Times New Roman"/>
          <w:iCs/>
        </w:rPr>
        <w:t xml:space="preserve"> </w:t>
      </w:r>
      <w:r w:rsidR="003931B7">
        <w:rPr>
          <w:rFonts w:cs="Times New Roman"/>
          <w:b/>
          <w:bCs/>
          <w:iCs/>
        </w:rPr>
        <w:t>Table I</w:t>
      </w:r>
      <w:r>
        <w:rPr>
          <w:rFonts w:cs="Times New Roman"/>
          <w:b/>
          <w:bCs/>
          <w:iCs/>
        </w:rPr>
        <w:t>I</w:t>
      </w:r>
      <w:r w:rsidR="00D122C9">
        <w:rPr>
          <w:rFonts w:cs="Times New Roman"/>
          <w:b/>
          <w:bCs/>
          <w:iCs/>
        </w:rPr>
        <w:t>I</w:t>
      </w:r>
      <w:r w:rsidR="003931B7">
        <w:rPr>
          <w:rFonts w:cs="Times New Roman"/>
          <w:iCs/>
        </w:rPr>
        <w:t xml:space="preserve"> and </w:t>
      </w:r>
      <w:r w:rsidR="003931B7">
        <w:rPr>
          <w:rFonts w:cs="Times New Roman"/>
          <w:b/>
          <w:bCs/>
          <w:iCs/>
        </w:rPr>
        <w:t>Table I</w:t>
      </w:r>
      <w:r w:rsidR="00D122C9">
        <w:rPr>
          <w:rFonts w:cs="Times New Roman"/>
          <w:b/>
          <w:bCs/>
          <w:iCs/>
        </w:rPr>
        <w:t>V</w:t>
      </w:r>
      <w:r w:rsidR="003931B7">
        <w:rPr>
          <w:rFonts w:cs="Times New Roman"/>
          <w:b/>
          <w:bCs/>
          <w:iCs/>
        </w:rPr>
        <w:t xml:space="preserve"> </w:t>
      </w:r>
      <w:r w:rsidR="003931B7" w:rsidRPr="003931B7">
        <w:rPr>
          <w:rFonts w:cs="Times New Roman"/>
          <w:iCs/>
        </w:rPr>
        <w:t xml:space="preserve">in </w:t>
      </w:r>
      <w:r>
        <w:rPr>
          <w:rFonts w:cs="Times New Roman"/>
          <w:iCs/>
        </w:rPr>
        <w:t>the 5</w:t>
      </w:r>
      <w:r w:rsidRPr="00CD77AB">
        <w:rPr>
          <w:rFonts w:cs="Times New Roman"/>
          <w:iCs/>
          <w:vertAlign w:val="superscript"/>
        </w:rPr>
        <w:t>th</w:t>
      </w:r>
      <w:r>
        <w:rPr>
          <w:rFonts w:cs="Times New Roman"/>
          <w:iCs/>
        </w:rPr>
        <w:t xml:space="preserve"> column is the limit for the “Rouquerol” rule, </w:t>
      </w:r>
      <w:r w:rsidR="003931B7">
        <w:rPr>
          <w:rFonts w:cs="Times New Roman"/>
          <w:iCs/>
        </w:rPr>
        <w:t>the 6</w:t>
      </w:r>
      <w:r w:rsidR="003931B7" w:rsidRPr="003931B7">
        <w:rPr>
          <w:rFonts w:cs="Times New Roman"/>
          <w:iCs/>
          <w:vertAlign w:val="superscript"/>
        </w:rPr>
        <w:t>th</w:t>
      </w:r>
      <w:r w:rsidR="003931B7">
        <w:rPr>
          <w:rFonts w:cs="Times New Roman"/>
          <w:iCs/>
        </w:rPr>
        <w:t xml:space="preserve"> column</w:t>
      </w:r>
      <w:r>
        <w:rPr>
          <w:rFonts w:cs="Times New Roman"/>
          <w:iCs/>
        </w:rPr>
        <w:t xml:space="preserve"> is the </w:t>
      </w:r>
      <w:r w:rsidR="00D122C9">
        <w:rPr>
          <w:rFonts w:cs="Times New Roman"/>
          <w:iCs/>
        </w:rPr>
        <w:t>standard deviation of the BET versus the QM</w:t>
      </w:r>
      <w:r w:rsidR="007665F2">
        <w:rPr>
          <w:rFonts w:cs="Times New Roman"/>
        </w:rPr>
        <w:t>/ESW</w:t>
      </w:r>
      <w:r w:rsidR="00D122C9">
        <w:rPr>
          <w:rFonts w:cs="Times New Roman"/>
          <w:iCs/>
        </w:rPr>
        <w:t xml:space="preserve"> only over the range specified, the 7</w:t>
      </w:r>
      <w:r w:rsidR="00D122C9" w:rsidRPr="00D122C9">
        <w:rPr>
          <w:rFonts w:cs="Times New Roman"/>
          <w:iCs/>
          <w:vertAlign w:val="superscript"/>
        </w:rPr>
        <w:t>th</w:t>
      </w:r>
      <w:r w:rsidR="00D122C9">
        <w:rPr>
          <w:rFonts w:cs="Times New Roman"/>
          <w:iCs/>
        </w:rPr>
        <w:t xml:space="preserve"> column is the standard deviation of the BET versus QM</w:t>
      </w:r>
      <w:r w:rsidR="007665F2">
        <w:rPr>
          <w:rFonts w:cs="Times New Roman"/>
        </w:rPr>
        <w:t>/ESW</w:t>
      </w:r>
      <w:r w:rsidR="00D122C9">
        <w:rPr>
          <w:rFonts w:cs="Times New Roman"/>
          <w:iCs/>
        </w:rPr>
        <w:t xml:space="preserve"> divided by the data range as specified by being useable.</w:t>
      </w:r>
    </w:p>
    <w:p w14:paraId="764E4265" w14:textId="77777777" w:rsidR="00D122C9" w:rsidRDefault="00D122C9" w:rsidP="00D122C9">
      <w:pPr>
        <w:pStyle w:val="NoSpacing"/>
        <w:rPr>
          <w:rFonts w:cs="Times New Roman"/>
          <w:iCs/>
        </w:rPr>
      </w:pPr>
    </w:p>
    <w:p w14:paraId="33561B52" w14:textId="77777777" w:rsidR="00D122C9" w:rsidRDefault="00D122C9" w:rsidP="00981E49">
      <w:pPr>
        <w:pStyle w:val="NoSpacing"/>
        <w:outlineLvl w:val="1"/>
      </w:pPr>
      <w:bookmarkStart w:id="53" w:name="_Toc171582145"/>
      <w:r w:rsidRPr="00981E49">
        <w:rPr>
          <w:i/>
          <w:iCs/>
        </w:rPr>
        <w:t>Conversion: - the Rouquerol convention</w:t>
      </w:r>
      <w:r>
        <w:t>.</w:t>
      </w:r>
      <w:bookmarkEnd w:id="53"/>
    </w:p>
    <w:p w14:paraId="0962F1BC" w14:textId="77777777" w:rsidR="00D122C9" w:rsidRDefault="00D122C9" w:rsidP="00D122C9">
      <w:pPr>
        <w:pStyle w:val="NoSpacing"/>
      </w:pPr>
    </w:p>
    <w:p w14:paraId="1D411ADA" w14:textId="2EDF219C" w:rsidR="00D122C9" w:rsidRDefault="00D122C9" w:rsidP="00D122C9">
      <w:pPr>
        <w:pStyle w:val="NoSpacing"/>
      </w:pPr>
      <w:r>
        <w:t>The “new” criteria are by Rouquerol, et al.</w:t>
      </w:r>
      <w:r w:rsidR="00877489">
        <w:fldChar w:fldCharType="begin"/>
      </w:r>
      <w:r w:rsidR="00877489">
        <w:instrText xml:space="preserve"> NOTEREF _Ref171178687 \f \h </w:instrText>
      </w:r>
      <w:r w:rsidR="00877489">
        <w:fldChar w:fldCharType="separate"/>
      </w:r>
      <w:r w:rsidR="00877489" w:rsidRPr="00877489">
        <w:rPr>
          <w:rStyle w:val="EndnoteReference"/>
        </w:rPr>
        <w:t>27</w:t>
      </w:r>
      <w:r w:rsidR="00877489">
        <w:fldChar w:fldCharType="end"/>
      </w:r>
      <w:r>
        <w:t xml:space="preserve">, that is, the range is below the maximum value for </w:t>
      </w:r>
      <w:proofErr w:type="gramStart"/>
      <w:r>
        <w:rPr>
          <w:i/>
          <w:iCs/>
        </w:rPr>
        <w:t>n</w:t>
      </w:r>
      <w:r>
        <w:rPr>
          <w:vertAlign w:val="subscript"/>
        </w:rPr>
        <w:t>ads</w:t>
      </w:r>
      <w:r>
        <w:t>(</w:t>
      </w:r>
      <w:proofErr w:type="gramEnd"/>
      <w:r>
        <w:t>1-</w:t>
      </w:r>
      <w:r>
        <w:rPr>
          <w:i/>
          <w:iCs/>
        </w:rPr>
        <w:t>P</w:t>
      </w:r>
      <w:r>
        <w:t>/</w:t>
      </w:r>
      <w:r>
        <w:rPr>
          <w:i/>
          <w:iCs/>
        </w:rPr>
        <w:t>P</w:t>
      </w:r>
      <w:r>
        <w:rPr>
          <w:vertAlign w:val="subscript"/>
        </w:rPr>
        <w:t xml:space="preserve">vap </w:t>
      </w:r>
      <w:r>
        <w:t xml:space="preserve">.)  There is no lower range specified for this, but obviously it will start to break down at pressures below </w:t>
      </w:r>
      <w:r>
        <w:rPr>
          <w:i/>
          <w:iCs/>
        </w:rPr>
        <w:t>P</w:t>
      </w:r>
      <w:r>
        <w:t>/</w:t>
      </w:r>
      <w:r>
        <w:rPr>
          <w:i/>
          <w:iCs/>
        </w:rPr>
        <w:t>P</w:t>
      </w:r>
      <w:r>
        <w:rPr>
          <w:vertAlign w:val="subscript"/>
        </w:rPr>
        <w:t>vap</w:t>
      </w:r>
      <w:r>
        <w:t xml:space="preserve"> = 0.01 as does the “old” analysis.  It is assumed that systems with HV and UHV are still rare in the present literature and such a requirement is either not noticed or ignored.  Furthermore, the BET cannot handle data that does not yield Henry’s law, so the threshold pressure is not included.</w:t>
      </w:r>
    </w:p>
    <w:p w14:paraId="282C8265" w14:textId="77777777" w:rsidR="00D122C9" w:rsidRDefault="00D122C9" w:rsidP="00D122C9">
      <w:pPr>
        <w:pStyle w:val="NoSpacing"/>
      </w:pPr>
    </w:p>
    <w:p w14:paraId="140147CB" w14:textId="692BF321" w:rsidR="005B3CB4" w:rsidRDefault="00D122C9" w:rsidP="00D122C9">
      <w:pPr>
        <w:pStyle w:val="NoSpacing"/>
        <w:rPr>
          <w:rFonts w:cs="Times New Roman"/>
          <w:iCs/>
        </w:rPr>
      </w:pPr>
      <w:r w:rsidRPr="009A6FFF">
        <w:t>An interesting question is, “How did Sing figure</w:t>
      </w:r>
      <w:r>
        <w:t xml:space="preserve"> </w:t>
      </w:r>
      <w:r w:rsidRPr="009A6FFF">
        <w:t xml:space="preserve">out </w:t>
      </w:r>
      <w:r>
        <w:t xml:space="preserve">that </w:t>
      </w:r>
      <w:proofErr w:type="gramStart"/>
      <w:r>
        <w:rPr>
          <w:i/>
          <w:iCs/>
        </w:rPr>
        <w:t>X</w:t>
      </w:r>
      <w:r>
        <w:t xml:space="preserve">  </w:t>
      </w:r>
      <w:r>
        <w:rPr>
          <w:rFonts w:cs="Times New Roman"/>
        </w:rPr>
        <w:t>≥</w:t>
      </w:r>
      <w:proofErr w:type="gramEnd"/>
      <w:r>
        <w:t xml:space="preserve"> 0.01 needed to be a required or things would break down </w:t>
      </w:r>
      <w:r w:rsidRPr="009A6FFF">
        <w:t xml:space="preserve">without </w:t>
      </w:r>
      <w:r>
        <w:t xml:space="preserve">using </w:t>
      </w:r>
      <w:r w:rsidRPr="009A6FFF">
        <w:t>QM</w:t>
      </w:r>
      <w:r w:rsidR="007665F2">
        <w:rPr>
          <w:rFonts w:cs="Times New Roman"/>
        </w:rPr>
        <w:t>/ESW</w:t>
      </w:r>
      <w:r w:rsidRPr="009A6FFF">
        <w:t>?”</w:t>
      </w:r>
      <w:r w:rsidR="00CD77AB">
        <w:rPr>
          <w:rFonts w:cs="Times New Roman"/>
          <w:iCs/>
        </w:rPr>
        <w:t xml:space="preserve"> </w:t>
      </w:r>
    </w:p>
    <w:p w14:paraId="0CC0E40D" w14:textId="77777777" w:rsidR="00D122C9" w:rsidRDefault="00D122C9" w:rsidP="00D122C9">
      <w:pPr>
        <w:pStyle w:val="NoSpacing"/>
      </w:pPr>
    </w:p>
    <w:p w14:paraId="6B750650" w14:textId="26692130" w:rsidR="00D122C9" w:rsidRDefault="00D122C9">
      <w:pPr>
        <w:spacing w:after="160" w:line="259" w:lineRule="auto"/>
        <w:rPr>
          <w:rFonts w:cs="Mangal"/>
          <w:szCs w:val="21"/>
        </w:rPr>
      </w:pPr>
      <w:r>
        <w:br w:type="page"/>
      </w:r>
    </w:p>
    <w:tbl>
      <w:tblPr>
        <w:tblStyle w:val="TableGrid"/>
        <w:tblW w:w="0" w:type="auto"/>
        <w:tblLook w:val="04A0" w:firstRow="1" w:lastRow="0" w:firstColumn="1" w:lastColumn="0" w:noHBand="0" w:noVBand="1"/>
      </w:tblPr>
      <w:tblGrid>
        <w:gridCol w:w="1023"/>
        <w:gridCol w:w="1492"/>
        <w:gridCol w:w="1800"/>
        <w:gridCol w:w="1260"/>
        <w:gridCol w:w="1080"/>
        <w:gridCol w:w="1800"/>
      </w:tblGrid>
      <w:tr w:rsidR="000977AC" w14:paraId="626296FD" w14:textId="77777777" w:rsidTr="00E80D26">
        <w:tc>
          <w:tcPr>
            <w:tcW w:w="8455" w:type="dxa"/>
            <w:gridSpan w:val="6"/>
          </w:tcPr>
          <w:p w14:paraId="03800C40" w14:textId="5C8E6FCA" w:rsidR="000977AC" w:rsidRDefault="000977AC" w:rsidP="00981E49">
            <w:pPr>
              <w:pStyle w:val="NoSpacing"/>
              <w:outlineLvl w:val="1"/>
              <w:rPr>
                <w:rFonts w:eastAsiaTheme="minorHAnsi" w:cs="Times New Roman"/>
                <w:b/>
                <w:bCs/>
                <w:color w:val="000000"/>
                <w:kern w:val="0"/>
                <w:lang w:eastAsia="en-US" w:bidi="ar-SA"/>
              </w:rPr>
            </w:pPr>
            <w:bookmarkStart w:id="54" w:name="_Toc171582146"/>
            <w:r>
              <w:rPr>
                <w:rFonts w:eastAsiaTheme="minorHAnsi" w:cs="Times New Roman"/>
                <w:b/>
                <w:bCs/>
                <w:color w:val="000000"/>
                <w:kern w:val="0"/>
                <w:lang w:eastAsia="en-US" w:bidi="ar-SA"/>
              </w:rPr>
              <w:lastRenderedPageBreak/>
              <w:t>Table I</w:t>
            </w:r>
            <w:r w:rsidR="00005F24">
              <w:rPr>
                <w:rFonts w:eastAsiaTheme="minorHAnsi" w:cs="Times New Roman"/>
                <w:b/>
                <w:bCs/>
                <w:color w:val="000000"/>
                <w:kern w:val="0"/>
                <w:lang w:eastAsia="en-US" w:bidi="ar-SA"/>
              </w:rPr>
              <w:t>I</w:t>
            </w:r>
            <w:r>
              <w:rPr>
                <w:rFonts w:eastAsiaTheme="minorHAnsi" w:cs="Times New Roman"/>
                <w:color w:val="000000"/>
                <w:kern w:val="0"/>
                <w:lang w:eastAsia="en-US" w:bidi="ar-SA"/>
              </w:rPr>
              <w:t xml:space="preserve"> Comparison of the BET versus χ monolayer equivalences using the “old” BET convention </w:t>
            </w:r>
            <w:r w:rsidR="005B3CB4">
              <w:rPr>
                <w:rFonts w:eastAsiaTheme="minorHAnsi" w:cs="Times New Roman"/>
                <w:color w:val="000000"/>
                <w:kern w:val="0"/>
                <w:lang w:eastAsia="en-US" w:bidi="ar-SA"/>
              </w:rPr>
              <w:t xml:space="preserve">and </w:t>
            </w:r>
            <w:r w:rsidR="00933E61">
              <w:rPr>
                <w:rFonts w:eastAsiaTheme="minorHAnsi" w:cs="Times New Roman"/>
                <w:color w:val="000000"/>
                <w:kern w:val="0"/>
                <w:lang w:eastAsia="en-US" w:bidi="ar-SA"/>
              </w:rPr>
              <w:t xml:space="preserve">traditional </w:t>
            </w:r>
            <w:r w:rsidR="005B3CB4">
              <w:rPr>
                <w:rFonts w:eastAsiaTheme="minorHAnsi" w:cs="Times New Roman"/>
                <w:color w:val="000000"/>
                <w:kern w:val="0"/>
                <w:lang w:eastAsia="en-US" w:bidi="ar-SA"/>
              </w:rPr>
              <w:t xml:space="preserve">linear fit </w:t>
            </w:r>
            <w:r>
              <w:rPr>
                <w:rFonts w:eastAsiaTheme="minorHAnsi" w:cs="Times New Roman"/>
                <w:color w:val="000000"/>
                <w:kern w:val="0"/>
                <w:lang w:eastAsia="en-US" w:bidi="ar-SA"/>
              </w:rPr>
              <w:t xml:space="preserve">for </w:t>
            </w:r>
            <w:r w:rsidR="00933E61">
              <w:rPr>
                <w:rFonts w:eastAsiaTheme="minorHAnsi" w:cs="Times New Roman"/>
                <w:color w:val="000000"/>
                <w:kern w:val="0"/>
                <w:lang w:eastAsia="en-US" w:bidi="ar-SA"/>
              </w:rPr>
              <w:t xml:space="preserve">the </w:t>
            </w:r>
            <w:r>
              <w:rPr>
                <w:rFonts w:eastAsiaTheme="minorHAnsi" w:cs="Times New Roman"/>
                <w:color w:val="000000"/>
                <w:kern w:val="0"/>
                <w:lang w:eastAsia="en-US" w:bidi="ar-SA"/>
              </w:rPr>
              <w:t>range selection,</w:t>
            </w:r>
            <w:r>
              <w:t xml:space="preserve"> 0.01&lt; </w:t>
            </w:r>
            <w:r>
              <w:rPr>
                <w:i/>
                <w:iCs/>
              </w:rPr>
              <w:t>P</w:t>
            </w:r>
            <w:r>
              <w:t>/</w:t>
            </w:r>
            <w:r>
              <w:rPr>
                <w:i/>
                <w:iCs/>
              </w:rPr>
              <w:t>P</w:t>
            </w:r>
            <w:r>
              <w:rPr>
                <w:vertAlign w:val="subscript"/>
              </w:rPr>
              <w:t>vap</w:t>
            </w:r>
            <w:r>
              <w:t xml:space="preserve"> &lt; 0.35</w:t>
            </w:r>
            <w:r>
              <w:rPr>
                <w:rFonts w:eastAsiaTheme="minorHAnsi" w:cs="Times New Roman"/>
                <w:color w:val="000000"/>
                <w:kern w:val="0"/>
                <w:lang w:eastAsia="en-US" w:bidi="ar-SA"/>
              </w:rPr>
              <w:t>.  (χ is full range.)</w:t>
            </w:r>
            <w:bookmarkEnd w:id="54"/>
          </w:p>
        </w:tc>
      </w:tr>
      <w:tr w:rsidR="000977AC" w14:paraId="7B8C8E75" w14:textId="77777777" w:rsidTr="003931B7">
        <w:tc>
          <w:tcPr>
            <w:tcW w:w="1023" w:type="dxa"/>
          </w:tcPr>
          <w:p w14:paraId="7B475A66" w14:textId="77777777" w:rsidR="000977AC" w:rsidRPr="004A37BC" w:rsidRDefault="000977AC" w:rsidP="00543A53">
            <w:pPr>
              <w:pStyle w:val="NoSpacing"/>
              <w:rPr>
                <w:rFonts w:eastAsiaTheme="minorHAnsi" w:cs="Times New Roman"/>
                <w:i/>
                <w:iCs/>
                <w:color w:val="000000"/>
                <w:kern w:val="0"/>
                <w:lang w:eastAsia="en-US" w:bidi="ar-SA"/>
              </w:rPr>
            </w:pPr>
            <w:r w:rsidRPr="004A37BC">
              <w:rPr>
                <w:rFonts w:eastAsiaTheme="minorHAnsi" w:cs="Times New Roman"/>
                <w:color w:val="000000"/>
                <w:kern w:val="0"/>
                <w:lang w:eastAsia="en-US" w:bidi="ar-SA"/>
              </w:rPr>
              <w:t>χ</w:t>
            </w:r>
            <w:r w:rsidRPr="004A37BC">
              <w:rPr>
                <w:rFonts w:eastAsiaTheme="minorHAnsi" w:cs="Times New Roman"/>
                <w:color w:val="000000"/>
                <w:kern w:val="0"/>
                <w:vertAlign w:val="subscript"/>
                <w:lang w:eastAsia="en-US" w:bidi="ar-SA"/>
              </w:rPr>
              <w:t>ς</w:t>
            </w:r>
          </w:p>
        </w:tc>
        <w:tc>
          <w:tcPr>
            <w:tcW w:w="1492" w:type="dxa"/>
          </w:tcPr>
          <w:p w14:paraId="7B63E9DF" w14:textId="77777777" w:rsidR="000977AC" w:rsidRPr="004A37BC" w:rsidRDefault="000977AC" w:rsidP="00543A53">
            <w:pPr>
              <w:pStyle w:val="NoSpacing"/>
              <w:rPr>
                <w:rFonts w:eastAsiaTheme="minorHAnsi" w:cs="Times New Roman"/>
                <w:i/>
                <w:iCs/>
                <w:color w:val="000000"/>
                <w:kern w:val="0"/>
                <w:lang w:eastAsia="en-US" w:bidi="ar-SA"/>
              </w:rPr>
            </w:pPr>
            <w:r w:rsidRPr="004A37BC">
              <w:rPr>
                <w:rFonts w:eastAsiaTheme="minorHAnsi" w:cs="Times New Roman"/>
                <w:i/>
                <w:iCs/>
                <w:color w:val="000000"/>
                <w:kern w:val="0"/>
                <w:lang w:eastAsia="en-US" w:bidi="ar-SA"/>
              </w:rPr>
              <w:t>-</w:t>
            </w:r>
            <w:r w:rsidRPr="004A37BC">
              <w:rPr>
                <w:rFonts w:cs="Times New Roman"/>
                <w:i/>
              </w:rPr>
              <w:t>Ē</w:t>
            </w:r>
            <w:r w:rsidRPr="004A37BC">
              <w:rPr>
                <w:rFonts w:eastAsiaTheme="minorHAnsi" w:cs="Times New Roman"/>
                <w:color w:val="000000"/>
                <w:kern w:val="0"/>
                <w:vertAlign w:val="subscript"/>
                <w:lang w:eastAsia="en-US" w:bidi="ar-SA"/>
              </w:rPr>
              <w:t>a</w:t>
            </w:r>
            <w:r w:rsidRPr="004A37BC">
              <w:rPr>
                <w:rFonts w:eastAsiaTheme="minorHAnsi" w:cs="Times New Roman"/>
                <w:color w:val="000000"/>
                <w:kern w:val="0"/>
                <w:lang w:eastAsia="en-US" w:bidi="ar-SA"/>
              </w:rPr>
              <w:t xml:space="preserve"> /kJ mol</w:t>
            </w:r>
            <w:r w:rsidRPr="004A37BC">
              <w:rPr>
                <w:rFonts w:eastAsiaTheme="minorHAnsi" w:cs="Times New Roman"/>
                <w:color w:val="000000"/>
                <w:kern w:val="0"/>
                <w:vertAlign w:val="superscript"/>
                <w:lang w:eastAsia="en-US" w:bidi="ar-SA"/>
              </w:rPr>
              <w:t>-1</w:t>
            </w:r>
          </w:p>
        </w:tc>
        <w:tc>
          <w:tcPr>
            <w:tcW w:w="1800" w:type="dxa"/>
          </w:tcPr>
          <w:p w14:paraId="431002BA" w14:textId="77777777" w:rsidR="000977AC" w:rsidRPr="004A37BC" w:rsidRDefault="000977AC" w:rsidP="00543A53">
            <w:pPr>
              <w:pStyle w:val="NoSpacing"/>
              <w:rPr>
                <w:rFonts w:eastAsiaTheme="minorHAnsi" w:cs="Times New Roman"/>
                <w:color w:val="000000"/>
                <w:kern w:val="0"/>
                <w:lang w:eastAsia="en-US" w:bidi="ar-SA"/>
              </w:rPr>
            </w:pPr>
            <w:proofErr w:type="gramStart"/>
            <w:r w:rsidRPr="004A37BC">
              <w:rPr>
                <w:rFonts w:eastAsiaTheme="minorHAnsi" w:cs="Times New Roman"/>
                <w:i/>
                <w:iCs/>
                <w:color w:val="000000"/>
                <w:kern w:val="0"/>
                <w:lang w:eastAsia="en-US" w:bidi="ar-SA"/>
              </w:rPr>
              <w:t>n</w:t>
            </w:r>
            <w:r w:rsidRPr="004A37BC">
              <w:rPr>
                <w:rFonts w:eastAsiaTheme="minorHAnsi" w:cs="Times New Roman"/>
                <w:color w:val="000000"/>
                <w:kern w:val="0"/>
                <w:vertAlign w:val="subscript"/>
                <w:lang w:eastAsia="en-US" w:bidi="ar-SA"/>
              </w:rPr>
              <w:t>m</w:t>
            </w:r>
            <w:r w:rsidRPr="004A37BC">
              <w:rPr>
                <w:rFonts w:eastAsiaTheme="minorHAnsi" w:cs="Times New Roman"/>
                <w:color w:val="000000"/>
                <w:kern w:val="0"/>
                <w:lang w:eastAsia="en-US" w:bidi="ar-SA"/>
              </w:rPr>
              <w:t>(</w:t>
            </w:r>
            <w:proofErr w:type="gramEnd"/>
            <w:r w:rsidRPr="004A37BC">
              <w:rPr>
                <w:rFonts w:eastAsiaTheme="minorHAnsi" w:cs="Times New Roman"/>
                <w:color w:val="000000"/>
                <w:kern w:val="0"/>
                <w:lang w:eastAsia="en-US" w:bidi="ar-SA"/>
              </w:rPr>
              <w:t>BET)/</w:t>
            </w:r>
            <w:r w:rsidRPr="004A37BC">
              <w:rPr>
                <w:rFonts w:eastAsiaTheme="minorHAnsi" w:cs="Times New Roman"/>
                <w:i/>
                <w:iCs/>
                <w:color w:val="000000"/>
                <w:kern w:val="0"/>
                <w:lang w:eastAsia="en-US" w:bidi="ar-SA"/>
              </w:rPr>
              <w:t xml:space="preserve"> n</w:t>
            </w:r>
            <w:r w:rsidRPr="004A37BC">
              <w:rPr>
                <w:rFonts w:eastAsiaTheme="minorHAnsi" w:cs="Times New Roman"/>
                <w:color w:val="000000"/>
                <w:kern w:val="0"/>
                <w:vertAlign w:val="subscript"/>
                <w:lang w:eastAsia="en-US" w:bidi="ar-SA"/>
              </w:rPr>
              <w:t>m</w:t>
            </w:r>
            <w:r w:rsidRPr="004A37BC">
              <w:rPr>
                <w:rFonts w:eastAsiaTheme="minorHAnsi" w:cs="Times New Roman"/>
                <w:color w:val="000000"/>
                <w:kern w:val="0"/>
                <w:lang w:eastAsia="en-US" w:bidi="ar-SA"/>
              </w:rPr>
              <w:t>(χ)</w:t>
            </w:r>
          </w:p>
        </w:tc>
        <w:tc>
          <w:tcPr>
            <w:tcW w:w="1260" w:type="dxa"/>
          </w:tcPr>
          <w:p w14:paraId="58457701" w14:textId="77777777" w:rsidR="000977AC" w:rsidRPr="004A37BC" w:rsidRDefault="000977AC" w:rsidP="00543A53">
            <w:pPr>
              <w:pStyle w:val="NoSpacing"/>
              <w:rPr>
                <w:rFonts w:eastAsiaTheme="minorHAnsi" w:cs="Times New Roman"/>
                <w:color w:val="000000"/>
                <w:kern w:val="0"/>
                <w:lang w:eastAsia="en-US" w:bidi="ar-SA"/>
              </w:rPr>
            </w:pPr>
            <w:r w:rsidRPr="004A37BC">
              <w:rPr>
                <w:rFonts w:eastAsiaTheme="minorHAnsi" w:cs="Times New Roman"/>
                <w:i/>
                <w:iCs/>
                <w:color w:val="000000"/>
                <w:kern w:val="0"/>
                <w:lang w:eastAsia="en-US" w:bidi="ar-SA"/>
              </w:rPr>
              <w:t>C</w:t>
            </w:r>
          </w:p>
        </w:tc>
        <w:tc>
          <w:tcPr>
            <w:tcW w:w="1080" w:type="dxa"/>
          </w:tcPr>
          <w:p w14:paraId="7BF34E9B" w14:textId="77777777" w:rsidR="000977AC" w:rsidRPr="004A37BC" w:rsidRDefault="000977AC"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σ of fit</w:t>
            </w:r>
          </w:p>
        </w:tc>
        <w:tc>
          <w:tcPr>
            <w:tcW w:w="1800" w:type="dxa"/>
          </w:tcPr>
          <w:p w14:paraId="401B8A11" w14:textId="502A97BF" w:rsidR="000977AC" w:rsidRPr="004A37BC" w:rsidRDefault="000977AC"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σ/</w:t>
            </w:r>
            <w:r w:rsidR="003931B7">
              <w:rPr>
                <w:rFonts w:eastAsiaTheme="minorHAnsi" w:cs="Times New Roman"/>
                <w:color w:val="000000"/>
                <w:kern w:val="0"/>
                <w:lang w:eastAsia="en-US" w:bidi="ar-SA"/>
              </w:rPr>
              <w:t xml:space="preserve">full data </w:t>
            </w:r>
            <w:r w:rsidRPr="004A37BC">
              <w:rPr>
                <w:rFonts w:eastAsiaTheme="minorHAnsi" w:cs="Times New Roman"/>
                <w:color w:val="000000"/>
                <w:kern w:val="0"/>
                <w:lang w:eastAsia="en-US" w:bidi="ar-SA"/>
              </w:rPr>
              <w:t>range</w:t>
            </w:r>
          </w:p>
        </w:tc>
      </w:tr>
      <w:tr w:rsidR="00653DCB" w14:paraId="25FB1303" w14:textId="77777777" w:rsidTr="003931B7">
        <w:tc>
          <w:tcPr>
            <w:tcW w:w="1023" w:type="dxa"/>
          </w:tcPr>
          <w:p w14:paraId="5A420800" w14:textId="4FDCEA4C" w:rsidR="00653DCB" w:rsidRPr="004A37BC" w:rsidRDefault="00653DCB" w:rsidP="00543A53">
            <w:pPr>
              <w:pStyle w:val="NoSpacing"/>
              <w:rPr>
                <w:rFonts w:cs="Times New Roman"/>
              </w:rPr>
            </w:pPr>
            <w:r w:rsidRPr="004A37BC">
              <w:rPr>
                <w:rFonts w:cs="Times New Roman"/>
                <w:lang w:val="en-CA"/>
              </w:rPr>
              <w:fldChar w:fldCharType="begin"/>
            </w:r>
            <w:r w:rsidRPr="004A37BC">
              <w:rPr>
                <w:rFonts w:cs="Times New Roman"/>
                <w:lang w:val="en-CA"/>
              </w:rPr>
              <w:instrText xml:space="preserve"> SEQ CHAPTER \h \r 1</w:instrText>
            </w:r>
            <w:r w:rsidRPr="004A37BC">
              <w:rPr>
                <w:rFonts w:cs="Times New Roman"/>
                <w:lang w:val="en-CA"/>
              </w:rPr>
              <w:fldChar w:fldCharType="end"/>
            </w:r>
            <w:r w:rsidRPr="004A37BC">
              <w:rPr>
                <w:rFonts w:cs="Times New Roman"/>
              </w:rPr>
              <w:t>-4.0</w:t>
            </w:r>
          </w:p>
        </w:tc>
        <w:tc>
          <w:tcPr>
            <w:tcW w:w="1492" w:type="dxa"/>
          </w:tcPr>
          <w:p w14:paraId="3239DE9D" w14:textId="77777777" w:rsidR="00653DCB" w:rsidRPr="004A37BC" w:rsidRDefault="00653DCB" w:rsidP="00543A53">
            <w:pPr>
              <w:pStyle w:val="NoSpacing"/>
              <w:rPr>
                <w:rFonts w:cs="Times New Roman"/>
              </w:rPr>
            </w:pPr>
            <w:r w:rsidRPr="004A37BC">
              <w:rPr>
                <w:rFonts w:cs="Times New Roman"/>
              </w:rPr>
              <w:t>35.41</w:t>
            </w:r>
          </w:p>
        </w:tc>
        <w:tc>
          <w:tcPr>
            <w:tcW w:w="1800" w:type="dxa"/>
          </w:tcPr>
          <w:p w14:paraId="711DF51D" w14:textId="77777777" w:rsidR="00653DCB" w:rsidRPr="004A37BC" w:rsidRDefault="00653DCB" w:rsidP="00543A53">
            <w:pPr>
              <w:pStyle w:val="NoSpacing"/>
              <w:rPr>
                <w:rFonts w:cs="Times New Roman"/>
              </w:rPr>
            </w:pPr>
            <w:r w:rsidRPr="004A37BC">
              <w:rPr>
                <w:rFonts w:cs="Times New Roman"/>
              </w:rPr>
              <w:t>2.680</w:t>
            </w:r>
          </w:p>
        </w:tc>
        <w:tc>
          <w:tcPr>
            <w:tcW w:w="1260" w:type="dxa"/>
          </w:tcPr>
          <w:p w14:paraId="25514FB3" w14:textId="77777777" w:rsidR="00653DCB" w:rsidRPr="0095772B" w:rsidRDefault="00653DCB" w:rsidP="00543A53">
            <w:pPr>
              <w:pStyle w:val="NoSpacing"/>
              <w:rPr>
                <w:rFonts w:cs="Times New Roman"/>
                <w:b/>
                <w:bCs/>
              </w:rPr>
            </w:pPr>
            <w:r w:rsidRPr="0095772B">
              <w:rPr>
                <w:rFonts w:cs="Times New Roman"/>
                <w:b/>
                <w:bCs/>
              </w:rPr>
              <w:t>-289.7</w:t>
            </w:r>
          </w:p>
        </w:tc>
        <w:tc>
          <w:tcPr>
            <w:tcW w:w="1080" w:type="dxa"/>
          </w:tcPr>
          <w:p w14:paraId="3B6B4ABD" w14:textId="77777777" w:rsidR="00653DCB" w:rsidRPr="004A37BC" w:rsidRDefault="00653DCB" w:rsidP="00543A53">
            <w:pPr>
              <w:pStyle w:val="NoSpacing"/>
              <w:rPr>
                <w:rFonts w:cs="Times New Roman"/>
              </w:rPr>
            </w:pPr>
            <w:r w:rsidRPr="004A37BC">
              <w:rPr>
                <w:rFonts w:cs="Times New Roman"/>
              </w:rPr>
              <w:t>0.435</w:t>
            </w:r>
          </w:p>
        </w:tc>
        <w:tc>
          <w:tcPr>
            <w:tcW w:w="1800" w:type="dxa"/>
          </w:tcPr>
          <w:p w14:paraId="1E1EFDCB"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29.5%</w:t>
            </w:r>
          </w:p>
        </w:tc>
      </w:tr>
      <w:tr w:rsidR="00653DCB" w14:paraId="678A9D2D" w14:textId="77777777" w:rsidTr="003931B7">
        <w:tc>
          <w:tcPr>
            <w:tcW w:w="1023" w:type="dxa"/>
          </w:tcPr>
          <w:p w14:paraId="2C1531C2" w14:textId="77777777" w:rsidR="00653DCB" w:rsidRPr="004A37BC" w:rsidRDefault="00653DCB" w:rsidP="00543A53">
            <w:pPr>
              <w:pStyle w:val="NoSpacing"/>
              <w:rPr>
                <w:rFonts w:cs="Times New Roman"/>
              </w:rPr>
            </w:pPr>
            <w:r w:rsidRPr="004A37BC">
              <w:rPr>
                <w:rFonts w:cs="Times New Roman"/>
              </w:rPr>
              <w:t>-3.9</w:t>
            </w:r>
          </w:p>
        </w:tc>
        <w:tc>
          <w:tcPr>
            <w:tcW w:w="1492" w:type="dxa"/>
          </w:tcPr>
          <w:p w14:paraId="4422A6E2" w14:textId="77777777" w:rsidR="00653DCB" w:rsidRPr="004A37BC" w:rsidRDefault="00653DCB" w:rsidP="00543A53">
            <w:pPr>
              <w:pStyle w:val="NoSpacing"/>
              <w:rPr>
                <w:rFonts w:cs="Times New Roman"/>
              </w:rPr>
            </w:pPr>
            <w:r w:rsidRPr="004A37BC">
              <w:rPr>
                <w:rFonts w:cs="Times New Roman"/>
              </w:rPr>
              <w:t>32.04</w:t>
            </w:r>
          </w:p>
        </w:tc>
        <w:tc>
          <w:tcPr>
            <w:tcW w:w="1800" w:type="dxa"/>
          </w:tcPr>
          <w:p w14:paraId="006909EA" w14:textId="77777777" w:rsidR="00653DCB" w:rsidRPr="004A37BC" w:rsidRDefault="00653DCB" w:rsidP="00543A53">
            <w:pPr>
              <w:pStyle w:val="NoSpacing"/>
              <w:rPr>
                <w:rFonts w:cs="Times New Roman"/>
              </w:rPr>
            </w:pPr>
            <w:r w:rsidRPr="004A37BC">
              <w:rPr>
                <w:rFonts w:cs="Times New Roman"/>
              </w:rPr>
              <w:t>2.611</w:t>
            </w:r>
          </w:p>
        </w:tc>
        <w:tc>
          <w:tcPr>
            <w:tcW w:w="1260" w:type="dxa"/>
          </w:tcPr>
          <w:p w14:paraId="58AE195E" w14:textId="77777777" w:rsidR="00653DCB" w:rsidRPr="0095772B" w:rsidRDefault="00653DCB" w:rsidP="00543A53">
            <w:pPr>
              <w:pStyle w:val="NoSpacing"/>
              <w:rPr>
                <w:rFonts w:cs="Times New Roman"/>
                <w:b/>
                <w:bCs/>
              </w:rPr>
            </w:pPr>
            <w:r w:rsidRPr="0095772B">
              <w:rPr>
                <w:rFonts w:cs="Times New Roman"/>
                <w:b/>
                <w:bCs/>
              </w:rPr>
              <w:t>-334.5</w:t>
            </w:r>
          </w:p>
        </w:tc>
        <w:tc>
          <w:tcPr>
            <w:tcW w:w="1080" w:type="dxa"/>
          </w:tcPr>
          <w:p w14:paraId="2A10104E" w14:textId="77777777" w:rsidR="00653DCB" w:rsidRPr="004A37BC" w:rsidRDefault="00653DCB" w:rsidP="00543A53">
            <w:pPr>
              <w:pStyle w:val="NoSpacing"/>
              <w:rPr>
                <w:rFonts w:cs="Times New Roman"/>
              </w:rPr>
            </w:pPr>
            <w:r w:rsidRPr="004A37BC">
              <w:rPr>
                <w:rFonts w:cs="Times New Roman"/>
              </w:rPr>
              <w:t>0.378</w:t>
            </w:r>
          </w:p>
        </w:tc>
        <w:tc>
          <w:tcPr>
            <w:tcW w:w="1800" w:type="dxa"/>
          </w:tcPr>
          <w:p w14:paraId="454E4A71"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25.6%</w:t>
            </w:r>
          </w:p>
        </w:tc>
      </w:tr>
      <w:tr w:rsidR="00653DCB" w14:paraId="70D7F12E" w14:textId="77777777" w:rsidTr="003931B7">
        <w:tc>
          <w:tcPr>
            <w:tcW w:w="1023" w:type="dxa"/>
          </w:tcPr>
          <w:p w14:paraId="4BBCB62B" w14:textId="77777777" w:rsidR="00653DCB" w:rsidRPr="004A37BC" w:rsidRDefault="00653DCB" w:rsidP="00543A53">
            <w:pPr>
              <w:pStyle w:val="NoSpacing"/>
              <w:rPr>
                <w:rFonts w:cs="Times New Roman"/>
              </w:rPr>
            </w:pPr>
            <w:r w:rsidRPr="004A37BC">
              <w:rPr>
                <w:rFonts w:cs="Times New Roman"/>
              </w:rPr>
              <w:t>-3.8</w:t>
            </w:r>
          </w:p>
        </w:tc>
        <w:tc>
          <w:tcPr>
            <w:tcW w:w="1492" w:type="dxa"/>
          </w:tcPr>
          <w:p w14:paraId="21A55BE6" w14:textId="77777777" w:rsidR="00653DCB" w:rsidRPr="004A37BC" w:rsidRDefault="00653DCB" w:rsidP="00543A53">
            <w:pPr>
              <w:pStyle w:val="NoSpacing"/>
              <w:rPr>
                <w:rFonts w:cs="Times New Roman"/>
              </w:rPr>
            </w:pPr>
            <w:r w:rsidRPr="004A37BC">
              <w:rPr>
                <w:rFonts w:cs="Times New Roman"/>
              </w:rPr>
              <w:t>28.99</w:t>
            </w:r>
          </w:p>
        </w:tc>
        <w:tc>
          <w:tcPr>
            <w:tcW w:w="1800" w:type="dxa"/>
          </w:tcPr>
          <w:p w14:paraId="5FC35CF2" w14:textId="77777777" w:rsidR="00653DCB" w:rsidRPr="004A37BC" w:rsidRDefault="00653DCB" w:rsidP="00543A53">
            <w:pPr>
              <w:pStyle w:val="NoSpacing"/>
              <w:rPr>
                <w:rFonts w:cs="Times New Roman"/>
              </w:rPr>
            </w:pPr>
            <w:r w:rsidRPr="004A37BC">
              <w:rPr>
                <w:rFonts w:cs="Times New Roman"/>
              </w:rPr>
              <w:t>2.542</w:t>
            </w:r>
          </w:p>
        </w:tc>
        <w:tc>
          <w:tcPr>
            <w:tcW w:w="1260" w:type="dxa"/>
          </w:tcPr>
          <w:p w14:paraId="64D19A4F" w14:textId="77777777" w:rsidR="00653DCB" w:rsidRPr="0095772B" w:rsidRDefault="00653DCB" w:rsidP="00543A53">
            <w:pPr>
              <w:pStyle w:val="NoSpacing"/>
              <w:rPr>
                <w:rFonts w:cs="Times New Roman"/>
                <w:b/>
                <w:bCs/>
              </w:rPr>
            </w:pPr>
            <w:r w:rsidRPr="0095772B">
              <w:rPr>
                <w:rFonts w:cs="Times New Roman"/>
                <w:b/>
                <w:bCs/>
              </w:rPr>
              <w:t>-401.1</w:t>
            </w:r>
          </w:p>
        </w:tc>
        <w:tc>
          <w:tcPr>
            <w:tcW w:w="1080" w:type="dxa"/>
          </w:tcPr>
          <w:p w14:paraId="5819C634" w14:textId="77777777" w:rsidR="00653DCB" w:rsidRPr="004A37BC" w:rsidRDefault="00653DCB" w:rsidP="00543A53">
            <w:pPr>
              <w:pStyle w:val="NoSpacing"/>
              <w:rPr>
                <w:rFonts w:cs="Times New Roman"/>
              </w:rPr>
            </w:pPr>
            <w:r w:rsidRPr="004A37BC">
              <w:rPr>
                <w:rFonts w:cs="Times New Roman"/>
              </w:rPr>
              <w:t>0.326</w:t>
            </w:r>
          </w:p>
        </w:tc>
        <w:tc>
          <w:tcPr>
            <w:tcW w:w="1800" w:type="dxa"/>
          </w:tcPr>
          <w:p w14:paraId="6FD59C3E"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22.1%</w:t>
            </w:r>
          </w:p>
        </w:tc>
      </w:tr>
      <w:tr w:rsidR="00653DCB" w14:paraId="78BDD77D" w14:textId="77777777" w:rsidTr="003931B7">
        <w:tc>
          <w:tcPr>
            <w:tcW w:w="1023" w:type="dxa"/>
          </w:tcPr>
          <w:p w14:paraId="274C58E4" w14:textId="77777777" w:rsidR="00653DCB" w:rsidRPr="004A37BC" w:rsidRDefault="00653DCB" w:rsidP="00543A53">
            <w:pPr>
              <w:pStyle w:val="NoSpacing"/>
              <w:rPr>
                <w:rFonts w:cs="Times New Roman"/>
              </w:rPr>
            </w:pPr>
            <w:r w:rsidRPr="004A37BC">
              <w:rPr>
                <w:rFonts w:cs="Times New Roman"/>
              </w:rPr>
              <w:t>-3.7</w:t>
            </w:r>
          </w:p>
        </w:tc>
        <w:tc>
          <w:tcPr>
            <w:tcW w:w="1492" w:type="dxa"/>
          </w:tcPr>
          <w:p w14:paraId="36FADAF3" w14:textId="77777777" w:rsidR="00653DCB" w:rsidRPr="004A37BC" w:rsidRDefault="00653DCB" w:rsidP="00543A53">
            <w:pPr>
              <w:pStyle w:val="NoSpacing"/>
              <w:rPr>
                <w:rFonts w:cs="Times New Roman"/>
              </w:rPr>
            </w:pPr>
            <w:r w:rsidRPr="004A37BC">
              <w:rPr>
                <w:rFonts w:cs="Times New Roman"/>
              </w:rPr>
              <w:t>26.23</w:t>
            </w:r>
          </w:p>
        </w:tc>
        <w:tc>
          <w:tcPr>
            <w:tcW w:w="1800" w:type="dxa"/>
          </w:tcPr>
          <w:p w14:paraId="50AE77FD" w14:textId="77777777" w:rsidR="00653DCB" w:rsidRPr="004A37BC" w:rsidRDefault="00653DCB" w:rsidP="00543A53">
            <w:pPr>
              <w:pStyle w:val="NoSpacing"/>
              <w:rPr>
                <w:rFonts w:cs="Times New Roman"/>
              </w:rPr>
            </w:pPr>
            <w:r w:rsidRPr="004A37BC">
              <w:rPr>
                <w:rFonts w:cs="Times New Roman"/>
              </w:rPr>
              <w:t>2.474</w:t>
            </w:r>
          </w:p>
        </w:tc>
        <w:tc>
          <w:tcPr>
            <w:tcW w:w="1260" w:type="dxa"/>
          </w:tcPr>
          <w:p w14:paraId="503E0B56" w14:textId="77777777" w:rsidR="00653DCB" w:rsidRPr="0095772B" w:rsidRDefault="00653DCB" w:rsidP="00543A53">
            <w:pPr>
              <w:pStyle w:val="NoSpacing"/>
              <w:rPr>
                <w:rFonts w:cs="Times New Roman"/>
                <w:b/>
                <w:bCs/>
              </w:rPr>
            </w:pPr>
            <w:r w:rsidRPr="0095772B">
              <w:rPr>
                <w:rFonts w:cs="Times New Roman"/>
                <w:b/>
                <w:bCs/>
              </w:rPr>
              <w:t>-510.5</w:t>
            </w:r>
          </w:p>
        </w:tc>
        <w:tc>
          <w:tcPr>
            <w:tcW w:w="1080" w:type="dxa"/>
          </w:tcPr>
          <w:p w14:paraId="7745C7B1" w14:textId="77777777" w:rsidR="00653DCB" w:rsidRPr="004A37BC" w:rsidRDefault="00653DCB" w:rsidP="00543A53">
            <w:pPr>
              <w:pStyle w:val="NoSpacing"/>
              <w:rPr>
                <w:rFonts w:cs="Times New Roman"/>
              </w:rPr>
            </w:pPr>
            <w:r w:rsidRPr="004A37BC">
              <w:rPr>
                <w:rFonts w:cs="Times New Roman"/>
              </w:rPr>
              <w:t>0.279</w:t>
            </w:r>
          </w:p>
        </w:tc>
        <w:tc>
          <w:tcPr>
            <w:tcW w:w="1800" w:type="dxa"/>
          </w:tcPr>
          <w:p w14:paraId="4B0ACF41"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18.9%</w:t>
            </w:r>
          </w:p>
        </w:tc>
      </w:tr>
      <w:tr w:rsidR="00653DCB" w14:paraId="25A31D8B" w14:textId="77777777" w:rsidTr="003931B7">
        <w:tc>
          <w:tcPr>
            <w:tcW w:w="1023" w:type="dxa"/>
          </w:tcPr>
          <w:p w14:paraId="2600BF50" w14:textId="77777777" w:rsidR="00653DCB" w:rsidRPr="004A37BC" w:rsidRDefault="00653DCB" w:rsidP="00543A53">
            <w:pPr>
              <w:pStyle w:val="NoSpacing"/>
              <w:rPr>
                <w:rFonts w:cs="Times New Roman"/>
              </w:rPr>
            </w:pPr>
            <w:r w:rsidRPr="004A37BC">
              <w:rPr>
                <w:rFonts w:cs="Times New Roman"/>
              </w:rPr>
              <w:t>-3.6</w:t>
            </w:r>
          </w:p>
        </w:tc>
        <w:tc>
          <w:tcPr>
            <w:tcW w:w="1492" w:type="dxa"/>
          </w:tcPr>
          <w:p w14:paraId="05B81EEE" w14:textId="77777777" w:rsidR="00653DCB" w:rsidRPr="004A37BC" w:rsidRDefault="00653DCB" w:rsidP="00543A53">
            <w:pPr>
              <w:pStyle w:val="NoSpacing"/>
              <w:rPr>
                <w:rFonts w:cs="Times New Roman"/>
              </w:rPr>
            </w:pPr>
            <w:r w:rsidRPr="004A37BC">
              <w:rPr>
                <w:rFonts w:cs="Times New Roman"/>
              </w:rPr>
              <w:t>23.73</w:t>
            </w:r>
          </w:p>
        </w:tc>
        <w:tc>
          <w:tcPr>
            <w:tcW w:w="1800" w:type="dxa"/>
          </w:tcPr>
          <w:p w14:paraId="03875327" w14:textId="77777777" w:rsidR="00653DCB" w:rsidRPr="004A37BC" w:rsidRDefault="00653DCB" w:rsidP="00543A53">
            <w:pPr>
              <w:pStyle w:val="NoSpacing"/>
              <w:rPr>
                <w:rFonts w:cs="Times New Roman"/>
              </w:rPr>
            </w:pPr>
            <w:r w:rsidRPr="004A37BC">
              <w:rPr>
                <w:rFonts w:cs="Times New Roman"/>
              </w:rPr>
              <w:t>2.405</w:t>
            </w:r>
          </w:p>
        </w:tc>
        <w:tc>
          <w:tcPr>
            <w:tcW w:w="1260" w:type="dxa"/>
          </w:tcPr>
          <w:p w14:paraId="798DA59A" w14:textId="77777777" w:rsidR="00653DCB" w:rsidRPr="0095772B" w:rsidRDefault="00653DCB" w:rsidP="00543A53">
            <w:pPr>
              <w:pStyle w:val="NoSpacing"/>
              <w:rPr>
                <w:rFonts w:cs="Times New Roman"/>
                <w:b/>
                <w:bCs/>
              </w:rPr>
            </w:pPr>
            <w:r w:rsidRPr="0095772B">
              <w:rPr>
                <w:rFonts w:cs="Times New Roman"/>
                <w:b/>
                <w:bCs/>
              </w:rPr>
              <w:t>-723.6</w:t>
            </w:r>
          </w:p>
        </w:tc>
        <w:tc>
          <w:tcPr>
            <w:tcW w:w="1080" w:type="dxa"/>
          </w:tcPr>
          <w:p w14:paraId="4A170C1E" w14:textId="77777777" w:rsidR="00653DCB" w:rsidRPr="004A37BC" w:rsidRDefault="00653DCB" w:rsidP="00543A53">
            <w:pPr>
              <w:pStyle w:val="NoSpacing"/>
              <w:rPr>
                <w:rFonts w:cs="Times New Roman"/>
              </w:rPr>
            </w:pPr>
            <w:r w:rsidRPr="004A37BC">
              <w:rPr>
                <w:rFonts w:cs="Times New Roman"/>
              </w:rPr>
              <w:t>0.236</w:t>
            </w:r>
          </w:p>
        </w:tc>
        <w:tc>
          <w:tcPr>
            <w:tcW w:w="1800" w:type="dxa"/>
          </w:tcPr>
          <w:p w14:paraId="7138A872"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16.0%</w:t>
            </w:r>
          </w:p>
        </w:tc>
      </w:tr>
      <w:tr w:rsidR="00653DCB" w14:paraId="1BD0DF7E" w14:textId="77777777" w:rsidTr="003931B7">
        <w:tc>
          <w:tcPr>
            <w:tcW w:w="1023" w:type="dxa"/>
          </w:tcPr>
          <w:p w14:paraId="7DB12859" w14:textId="77777777" w:rsidR="00653DCB" w:rsidRPr="004A37BC" w:rsidRDefault="00653DCB" w:rsidP="00543A53">
            <w:pPr>
              <w:pStyle w:val="NoSpacing"/>
              <w:rPr>
                <w:rFonts w:cs="Times New Roman"/>
              </w:rPr>
            </w:pPr>
            <w:r w:rsidRPr="004A37BC">
              <w:rPr>
                <w:rFonts w:cs="Times New Roman"/>
              </w:rPr>
              <w:t>-3.5</w:t>
            </w:r>
          </w:p>
        </w:tc>
        <w:tc>
          <w:tcPr>
            <w:tcW w:w="1492" w:type="dxa"/>
          </w:tcPr>
          <w:p w14:paraId="1065C9C8" w14:textId="77777777" w:rsidR="00653DCB" w:rsidRPr="004A37BC" w:rsidRDefault="00653DCB" w:rsidP="00543A53">
            <w:pPr>
              <w:pStyle w:val="NoSpacing"/>
              <w:rPr>
                <w:rFonts w:cs="Times New Roman"/>
              </w:rPr>
            </w:pPr>
            <w:r w:rsidRPr="004A37BC">
              <w:rPr>
                <w:rFonts w:cs="Times New Roman"/>
              </w:rPr>
              <w:t>21.48</w:t>
            </w:r>
          </w:p>
        </w:tc>
        <w:tc>
          <w:tcPr>
            <w:tcW w:w="1800" w:type="dxa"/>
          </w:tcPr>
          <w:p w14:paraId="2BFAC36B" w14:textId="77777777" w:rsidR="00653DCB" w:rsidRPr="004A37BC" w:rsidRDefault="00653DCB" w:rsidP="00543A53">
            <w:pPr>
              <w:pStyle w:val="NoSpacing"/>
              <w:rPr>
                <w:rFonts w:cs="Times New Roman"/>
              </w:rPr>
            </w:pPr>
            <w:r w:rsidRPr="004A37BC">
              <w:rPr>
                <w:rFonts w:cs="Times New Roman"/>
              </w:rPr>
              <w:t>2.337</w:t>
            </w:r>
          </w:p>
        </w:tc>
        <w:tc>
          <w:tcPr>
            <w:tcW w:w="1260" w:type="dxa"/>
          </w:tcPr>
          <w:p w14:paraId="4E279778" w14:textId="77777777" w:rsidR="00653DCB" w:rsidRPr="0095772B" w:rsidRDefault="00653DCB" w:rsidP="00543A53">
            <w:pPr>
              <w:pStyle w:val="NoSpacing"/>
              <w:rPr>
                <w:rFonts w:cs="Times New Roman"/>
                <w:b/>
                <w:bCs/>
              </w:rPr>
            </w:pPr>
            <w:r w:rsidRPr="0095772B">
              <w:rPr>
                <w:rFonts w:cs="Times New Roman"/>
                <w:b/>
                <w:bCs/>
              </w:rPr>
              <w:t>-1321.4</w:t>
            </w:r>
          </w:p>
        </w:tc>
        <w:tc>
          <w:tcPr>
            <w:tcW w:w="1080" w:type="dxa"/>
          </w:tcPr>
          <w:p w14:paraId="5FEAA7E4" w14:textId="77777777" w:rsidR="00653DCB" w:rsidRPr="004A37BC" w:rsidRDefault="00653DCB" w:rsidP="00543A53">
            <w:pPr>
              <w:pStyle w:val="NoSpacing"/>
              <w:rPr>
                <w:rFonts w:cs="Times New Roman"/>
              </w:rPr>
            </w:pPr>
            <w:r w:rsidRPr="004A37BC">
              <w:rPr>
                <w:rFonts w:cs="Times New Roman"/>
              </w:rPr>
              <w:t>0.197</w:t>
            </w:r>
          </w:p>
        </w:tc>
        <w:tc>
          <w:tcPr>
            <w:tcW w:w="1800" w:type="dxa"/>
          </w:tcPr>
          <w:p w14:paraId="4837B2BD"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13.3%</w:t>
            </w:r>
          </w:p>
        </w:tc>
      </w:tr>
      <w:tr w:rsidR="00653DCB" w14:paraId="039C54AF" w14:textId="77777777" w:rsidTr="003931B7">
        <w:tc>
          <w:tcPr>
            <w:tcW w:w="1023" w:type="dxa"/>
          </w:tcPr>
          <w:p w14:paraId="371AAEA7" w14:textId="77777777" w:rsidR="00653DCB" w:rsidRPr="004A37BC" w:rsidRDefault="00653DCB" w:rsidP="00543A53">
            <w:pPr>
              <w:pStyle w:val="NoSpacing"/>
              <w:rPr>
                <w:rFonts w:cs="Times New Roman"/>
              </w:rPr>
            </w:pPr>
            <w:r w:rsidRPr="004A37BC">
              <w:rPr>
                <w:rFonts w:cs="Times New Roman"/>
              </w:rPr>
              <w:t>-3.4</w:t>
            </w:r>
          </w:p>
        </w:tc>
        <w:tc>
          <w:tcPr>
            <w:tcW w:w="1492" w:type="dxa"/>
          </w:tcPr>
          <w:p w14:paraId="15AB1A42" w14:textId="77777777" w:rsidR="00653DCB" w:rsidRPr="004A37BC" w:rsidRDefault="00653DCB" w:rsidP="00543A53">
            <w:pPr>
              <w:pStyle w:val="NoSpacing"/>
              <w:rPr>
                <w:rFonts w:cs="Times New Roman"/>
              </w:rPr>
            </w:pPr>
            <w:r w:rsidRPr="004A37BC">
              <w:rPr>
                <w:rFonts w:cs="Times New Roman"/>
              </w:rPr>
              <w:t>19.43</w:t>
            </w:r>
          </w:p>
        </w:tc>
        <w:tc>
          <w:tcPr>
            <w:tcW w:w="1800" w:type="dxa"/>
          </w:tcPr>
          <w:p w14:paraId="601B046E" w14:textId="77777777" w:rsidR="00653DCB" w:rsidRPr="004A37BC" w:rsidRDefault="00653DCB" w:rsidP="00543A53">
            <w:pPr>
              <w:pStyle w:val="NoSpacing"/>
              <w:rPr>
                <w:rFonts w:cs="Times New Roman"/>
              </w:rPr>
            </w:pPr>
            <w:r w:rsidRPr="004A37BC">
              <w:rPr>
                <w:rFonts w:cs="Times New Roman"/>
              </w:rPr>
              <w:t>2.269</w:t>
            </w:r>
          </w:p>
        </w:tc>
        <w:tc>
          <w:tcPr>
            <w:tcW w:w="1260" w:type="dxa"/>
          </w:tcPr>
          <w:p w14:paraId="0785E17B" w14:textId="77777777" w:rsidR="00653DCB" w:rsidRPr="0095772B" w:rsidRDefault="00653DCB" w:rsidP="00543A53">
            <w:pPr>
              <w:pStyle w:val="NoSpacing"/>
              <w:rPr>
                <w:rFonts w:cs="Times New Roman"/>
                <w:b/>
                <w:bCs/>
              </w:rPr>
            </w:pPr>
            <w:r w:rsidRPr="0095772B">
              <w:rPr>
                <w:rFonts w:cs="Times New Roman"/>
                <w:b/>
                <w:bCs/>
              </w:rPr>
              <w:t>-13003.2</w:t>
            </w:r>
          </w:p>
        </w:tc>
        <w:tc>
          <w:tcPr>
            <w:tcW w:w="1080" w:type="dxa"/>
          </w:tcPr>
          <w:p w14:paraId="3627E647" w14:textId="77777777" w:rsidR="00653DCB" w:rsidRPr="004A37BC" w:rsidRDefault="00653DCB" w:rsidP="00543A53">
            <w:pPr>
              <w:pStyle w:val="NoSpacing"/>
              <w:rPr>
                <w:rFonts w:cs="Times New Roman"/>
              </w:rPr>
            </w:pPr>
            <w:r w:rsidRPr="004A37BC">
              <w:rPr>
                <w:rFonts w:cs="Times New Roman"/>
              </w:rPr>
              <w:t>0.163</w:t>
            </w:r>
          </w:p>
        </w:tc>
        <w:tc>
          <w:tcPr>
            <w:tcW w:w="1800" w:type="dxa"/>
          </w:tcPr>
          <w:p w14:paraId="33BA0D48"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11.0%</w:t>
            </w:r>
          </w:p>
        </w:tc>
      </w:tr>
      <w:tr w:rsidR="00653DCB" w14:paraId="312A84DC" w14:textId="77777777" w:rsidTr="003931B7">
        <w:tc>
          <w:tcPr>
            <w:tcW w:w="1023" w:type="dxa"/>
          </w:tcPr>
          <w:p w14:paraId="1F6962AB" w14:textId="77777777" w:rsidR="00653DCB" w:rsidRPr="004A37BC" w:rsidRDefault="00653DCB" w:rsidP="00543A53">
            <w:pPr>
              <w:pStyle w:val="NoSpacing"/>
              <w:rPr>
                <w:rFonts w:cs="Times New Roman"/>
              </w:rPr>
            </w:pPr>
            <w:r w:rsidRPr="004A37BC">
              <w:rPr>
                <w:rFonts w:cs="Times New Roman"/>
              </w:rPr>
              <w:t>-3.3</w:t>
            </w:r>
          </w:p>
        </w:tc>
        <w:tc>
          <w:tcPr>
            <w:tcW w:w="1492" w:type="dxa"/>
          </w:tcPr>
          <w:p w14:paraId="28FAEA3A" w14:textId="77777777" w:rsidR="00653DCB" w:rsidRPr="004A37BC" w:rsidRDefault="00653DCB" w:rsidP="00543A53">
            <w:pPr>
              <w:pStyle w:val="NoSpacing"/>
              <w:rPr>
                <w:rFonts w:cs="Times New Roman"/>
              </w:rPr>
            </w:pPr>
            <w:r w:rsidRPr="004A37BC">
              <w:rPr>
                <w:rFonts w:cs="Times New Roman"/>
              </w:rPr>
              <w:t>17.58</w:t>
            </w:r>
          </w:p>
        </w:tc>
        <w:tc>
          <w:tcPr>
            <w:tcW w:w="1800" w:type="dxa"/>
          </w:tcPr>
          <w:p w14:paraId="3CF87E13" w14:textId="77777777" w:rsidR="00653DCB" w:rsidRPr="004A37BC" w:rsidRDefault="00653DCB" w:rsidP="00543A53">
            <w:pPr>
              <w:pStyle w:val="NoSpacing"/>
              <w:rPr>
                <w:rFonts w:cs="Times New Roman"/>
              </w:rPr>
            </w:pPr>
            <w:r w:rsidRPr="004A37BC">
              <w:rPr>
                <w:rFonts w:cs="Times New Roman"/>
              </w:rPr>
              <w:t>2.201</w:t>
            </w:r>
          </w:p>
        </w:tc>
        <w:tc>
          <w:tcPr>
            <w:tcW w:w="1260" w:type="dxa"/>
          </w:tcPr>
          <w:p w14:paraId="240971ED" w14:textId="77777777" w:rsidR="00653DCB" w:rsidRPr="004A37BC" w:rsidRDefault="00653DCB" w:rsidP="00543A53">
            <w:pPr>
              <w:pStyle w:val="NoSpacing"/>
              <w:rPr>
                <w:rFonts w:cs="Times New Roman"/>
              </w:rPr>
            </w:pPr>
            <w:r w:rsidRPr="004A37BC">
              <w:rPr>
                <w:rFonts w:cs="Times New Roman"/>
              </w:rPr>
              <w:t>1503.2</w:t>
            </w:r>
          </w:p>
        </w:tc>
        <w:tc>
          <w:tcPr>
            <w:tcW w:w="1080" w:type="dxa"/>
          </w:tcPr>
          <w:p w14:paraId="19644E77" w14:textId="77777777" w:rsidR="00653DCB" w:rsidRPr="004A37BC" w:rsidRDefault="00653DCB" w:rsidP="00543A53">
            <w:pPr>
              <w:pStyle w:val="NoSpacing"/>
              <w:rPr>
                <w:rFonts w:cs="Times New Roman"/>
              </w:rPr>
            </w:pPr>
            <w:r w:rsidRPr="004A37BC">
              <w:rPr>
                <w:rFonts w:cs="Times New Roman"/>
              </w:rPr>
              <w:t>0.133</w:t>
            </w:r>
          </w:p>
        </w:tc>
        <w:tc>
          <w:tcPr>
            <w:tcW w:w="1800" w:type="dxa"/>
          </w:tcPr>
          <w:p w14:paraId="3822FC01"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9.0%</w:t>
            </w:r>
          </w:p>
        </w:tc>
      </w:tr>
      <w:tr w:rsidR="00653DCB" w14:paraId="35B18735" w14:textId="77777777" w:rsidTr="003931B7">
        <w:tc>
          <w:tcPr>
            <w:tcW w:w="1023" w:type="dxa"/>
          </w:tcPr>
          <w:p w14:paraId="4737C53C" w14:textId="77777777" w:rsidR="00653DCB" w:rsidRPr="004A37BC" w:rsidRDefault="00653DCB" w:rsidP="00543A53">
            <w:pPr>
              <w:pStyle w:val="NoSpacing"/>
              <w:rPr>
                <w:rFonts w:cs="Times New Roman"/>
              </w:rPr>
            </w:pPr>
            <w:r w:rsidRPr="004A37BC">
              <w:rPr>
                <w:rFonts w:cs="Times New Roman"/>
              </w:rPr>
              <w:t>-3.2</w:t>
            </w:r>
          </w:p>
        </w:tc>
        <w:tc>
          <w:tcPr>
            <w:tcW w:w="1492" w:type="dxa"/>
          </w:tcPr>
          <w:p w14:paraId="41967C6B" w14:textId="77777777" w:rsidR="00653DCB" w:rsidRPr="004A37BC" w:rsidRDefault="00653DCB" w:rsidP="00543A53">
            <w:pPr>
              <w:pStyle w:val="NoSpacing"/>
              <w:rPr>
                <w:rFonts w:cs="Times New Roman"/>
              </w:rPr>
            </w:pPr>
            <w:r w:rsidRPr="004A37BC">
              <w:rPr>
                <w:rFonts w:cs="Times New Roman"/>
              </w:rPr>
              <w:t>15.91</w:t>
            </w:r>
          </w:p>
        </w:tc>
        <w:tc>
          <w:tcPr>
            <w:tcW w:w="1800" w:type="dxa"/>
          </w:tcPr>
          <w:p w14:paraId="452FE4BF" w14:textId="77777777" w:rsidR="00653DCB" w:rsidRPr="004A37BC" w:rsidRDefault="00653DCB" w:rsidP="00543A53">
            <w:pPr>
              <w:pStyle w:val="NoSpacing"/>
              <w:rPr>
                <w:rFonts w:cs="Times New Roman"/>
              </w:rPr>
            </w:pPr>
            <w:r w:rsidRPr="004A37BC">
              <w:rPr>
                <w:rFonts w:cs="Times New Roman"/>
              </w:rPr>
              <w:t>2.132</w:t>
            </w:r>
          </w:p>
        </w:tc>
        <w:tc>
          <w:tcPr>
            <w:tcW w:w="1260" w:type="dxa"/>
          </w:tcPr>
          <w:p w14:paraId="59673EFD" w14:textId="77777777" w:rsidR="00653DCB" w:rsidRPr="004A37BC" w:rsidRDefault="00653DCB" w:rsidP="00543A53">
            <w:pPr>
              <w:pStyle w:val="NoSpacing"/>
              <w:rPr>
                <w:rFonts w:cs="Times New Roman"/>
              </w:rPr>
            </w:pPr>
            <w:r w:rsidRPr="004A37BC">
              <w:rPr>
                <w:rFonts w:cs="Times New Roman"/>
              </w:rPr>
              <w:t>676.2</w:t>
            </w:r>
          </w:p>
        </w:tc>
        <w:tc>
          <w:tcPr>
            <w:tcW w:w="1080" w:type="dxa"/>
          </w:tcPr>
          <w:p w14:paraId="68E85450" w14:textId="77777777" w:rsidR="00653DCB" w:rsidRPr="004A37BC" w:rsidRDefault="00653DCB" w:rsidP="00543A53">
            <w:pPr>
              <w:pStyle w:val="NoSpacing"/>
              <w:rPr>
                <w:rFonts w:cs="Times New Roman"/>
              </w:rPr>
            </w:pPr>
            <w:r w:rsidRPr="004A37BC">
              <w:rPr>
                <w:rFonts w:cs="Times New Roman"/>
              </w:rPr>
              <w:t>0.107</w:t>
            </w:r>
          </w:p>
        </w:tc>
        <w:tc>
          <w:tcPr>
            <w:tcW w:w="1800" w:type="dxa"/>
          </w:tcPr>
          <w:p w14:paraId="33F76A30"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7.2%</w:t>
            </w:r>
          </w:p>
        </w:tc>
      </w:tr>
      <w:tr w:rsidR="00653DCB" w14:paraId="51F046A9" w14:textId="77777777" w:rsidTr="003931B7">
        <w:tc>
          <w:tcPr>
            <w:tcW w:w="1023" w:type="dxa"/>
          </w:tcPr>
          <w:p w14:paraId="769CD8F0" w14:textId="77777777" w:rsidR="00653DCB" w:rsidRPr="004A37BC" w:rsidRDefault="00653DCB" w:rsidP="00543A53">
            <w:pPr>
              <w:pStyle w:val="NoSpacing"/>
              <w:rPr>
                <w:rFonts w:cs="Times New Roman"/>
              </w:rPr>
            </w:pPr>
            <w:r w:rsidRPr="004A37BC">
              <w:rPr>
                <w:rFonts w:cs="Times New Roman"/>
              </w:rPr>
              <w:t>-3.1</w:t>
            </w:r>
          </w:p>
        </w:tc>
        <w:tc>
          <w:tcPr>
            <w:tcW w:w="1492" w:type="dxa"/>
          </w:tcPr>
          <w:p w14:paraId="7A3B6379" w14:textId="77777777" w:rsidR="00653DCB" w:rsidRPr="004A37BC" w:rsidRDefault="00653DCB" w:rsidP="00543A53">
            <w:pPr>
              <w:pStyle w:val="NoSpacing"/>
              <w:rPr>
                <w:rFonts w:cs="Times New Roman"/>
              </w:rPr>
            </w:pPr>
            <w:r w:rsidRPr="004A37BC">
              <w:rPr>
                <w:rFonts w:cs="Times New Roman"/>
              </w:rPr>
              <w:t>14.40</w:t>
            </w:r>
          </w:p>
        </w:tc>
        <w:tc>
          <w:tcPr>
            <w:tcW w:w="1800" w:type="dxa"/>
          </w:tcPr>
          <w:p w14:paraId="53641590" w14:textId="77777777" w:rsidR="00653DCB" w:rsidRPr="004A37BC" w:rsidRDefault="00653DCB" w:rsidP="00543A53">
            <w:pPr>
              <w:pStyle w:val="NoSpacing"/>
              <w:rPr>
                <w:rFonts w:cs="Times New Roman"/>
              </w:rPr>
            </w:pPr>
            <w:r w:rsidRPr="004A37BC">
              <w:rPr>
                <w:rFonts w:cs="Times New Roman"/>
              </w:rPr>
              <w:t>2.065</w:t>
            </w:r>
          </w:p>
        </w:tc>
        <w:tc>
          <w:tcPr>
            <w:tcW w:w="1260" w:type="dxa"/>
          </w:tcPr>
          <w:p w14:paraId="419C11D9" w14:textId="77777777" w:rsidR="00653DCB" w:rsidRPr="004A37BC" w:rsidRDefault="00653DCB" w:rsidP="00543A53">
            <w:pPr>
              <w:pStyle w:val="NoSpacing"/>
              <w:rPr>
                <w:rFonts w:cs="Times New Roman"/>
              </w:rPr>
            </w:pPr>
            <w:r w:rsidRPr="004A37BC">
              <w:rPr>
                <w:rFonts w:cs="Times New Roman"/>
              </w:rPr>
              <w:t>421.0</w:t>
            </w:r>
          </w:p>
        </w:tc>
        <w:tc>
          <w:tcPr>
            <w:tcW w:w="1080" w:type="dxa"/>
          </w:tcPr>
          <w:p w14:paraId="1B659830" w14:textId="77777777" w:rsidR="00653DCB" w:rsidRPr="004A37BC" w:rsidRDefault="00653DCB" w:rsidP="00543A53">
            <w:pPr>
              <w:pStyle w:val="NoSpacing"/>
              <w:rPr>
                <w:rFonts w:cs="Times New Roman"/>
              </w:rPr>
            </w:pPr>
            <w:r w:rsidRPr="004A37BC">
              <w:rPr>
                <w:rFonts w:cs="Times New Roman"/>
              </w:rPr>
              <w:t>0.085</w:t>
            </w:r>
          </w:p>
        </w:tc>
        <w:tc>
          <w:tcPr>
            <w:tcW w:w="1800" w:type="dxa"/>
          </w:tcPr>
          <w:p w14:paraId="238C2190"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5.7%</w:t>
            </w:r>
          </w:p>
        </w:tc>
      </w:tr>
      <w:tr w:rsidR="00653DCB" w14:paraId="4B680B0E" w14:textId="77777777" w:rsidTr="003931B7">
        <w:tc>
          <w:tcPr>
            <w:tcW w:w="1023" w:type="dxa"/>
          </w:tcPr>
          <w:p w14:paraId="09D3A7D3" w14:textId="77777777" w:rsidR="00653DCB" w:rsidRPr="004A37BC" w:rsidRDefault="00653DCB" w:rsidP="00543A53">
            <w:pPr>
              <w:pStyle w:val="NoSpacing"/>
              <w:rPr>
                <w:rFonts w:cs="Times New Roman"/>
              </w:rPr>
            </w:pPr>
            <w:r w:rsidRPr="004A37BC">
              <w:rPr>
                <w:rFonts w:cs="Times New Roman"/>
              </w:rPr>
              <w:t>-3.0</w:t>
            </w:r>
          </w:p>
        </w:tc>
        <w:tc>
          <w:tcPr>
            <w:tcW w:w="1492" w:type="dxa"/>
          </w:tcPr>
          <w:p w14:paraId="17DA08BF" w14:textId="77777777" w:rsidR="00653DCB" w:rsidRPr="004A37BC" w:rsidRDefault="00653DCB" w:rsidP="00543A53">
            <w:pPr>
              <w:pStyle w:val="NoSpacing"/>
              <w:rPr>
                <w:rFonts w:cs="Times New Roman"/>
              </w:rPr>
            </w:pPr>
            <w:r w:rsidRPr="004A37BC">
              <w:rPr>
                <w:rFonts w:cs="Times New Roman"/>
              </w:rPr>
              <w:t>13.03</w:t>
            </w:r>
          </w:p>
        </w:tc>
        <w:tc>
          <w:tcPr>
            <w:tcW w:w="1800" w:type="dxa"/>
          </w:tcPr>
          <w:p w14:paraId="228E389E" w14:textId="77777777" w:rsidR="00653DCB" w:rsidRPr="004A37BC" w:rsidRDefault="00653DCB" w:rsidP="00543A53">
            <w:pPr>
              <w:pStyle w:val="NoSpacing"/>
              <w:rPr>
                <w:rFonts w:cs="Times New Roman"/>
              </w:rPr>
            </w:pPr>
            <w:r w:rsidRPr="004A37BC">
              <w:rPr>
                <w:rFonts w:cs="Times New Roman"/>
              </w:rPr>
              <w:t>1.997</w:t>
            </w:r>
          </w:p>
        </w:tc>
        <w:tc>
          <w:tcPr>
            <w:tcW w:w="1260" w:type="dxa"/>
          </w:tcPr>
          <w:p w14:paraId="451EC5D6" w14:textId="77777777" w:rsidR="00653DCB" w:rsidRPr="004A37BC" w:rsidRDefault="00653DCB" w:rsidP="00543A53">
            <w:pPr>
              <w:pStyle w:val="NoSpacing"/>
              <w:rPr>
                <w:rFonts w:cs="Times New Roman"/>
              </w:rPr>
            </w:pPr>
            <w:r w:rsidRPr="004A37BC">
              <w:rPr>
                <w:rFonts w:cs="Times New Roman"/>
              </w:rPr>
              <w:t>297.0</w:t>
            </w:r>
          </w:p>
        </w:tc>
        <w:tc>
          <w:tcPr>
            <w:tcW w:w="1080" w:type="dxa"/>
          </w:tcPr>
          <w:p w14:paraId="489884AC" w14:textId="77777777" w:rsidR="00653DCB" w:rsidRPr="004A37BC" w:rsidRDefault="00653DCB" w:rsidP="00543A53">
            <w:pPr>
              <w:pStyle w:val="NoSpacing"/>
              <w:rPr>
                <w:rFonts w:cs="Times New Roman"/>
              </w:rPr>
            </w:pPr>
            <w:r w:rsidRPr="004A37BC">
              <w:rPr>
                <w:rFonts w:cs="Times New Roman"/>
              </w:rPr>
              <w:t>0.067</w:t>
            </w:r>
          </w:p>
        </w:tc>
        <w:tc>
          <w:tcPr>
            <w:tcW w:w="1800" w:type="dxa"/>
          </w:tcPr>
          <w:p w14:paraId="1E26A3D6"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4.5%</w:t>
            </w:r>
          </w:p>
        </w:tc>
      </w:tr>
      <w:tr w:rsidR="00653DCB" w14:paraId="490DBC25" w14:textId="77777777" w:rsidTr="003931B7">
        <w:tc>
          <w:tcPr>
            <w:tcW w:w="1023" w:type="dxa"/>
          </w:tcPr>
          <w:p w14:paraId="717CE868" w14:textId="77777777" w:rsidR="00653DCB" w:rsidRPr="004A37BC" w:rsidRDefault="00653DCB" w:rsidP="00543A53">
            <w:pPr>
              <w:pStyle w:val="NoSpacing"/>
              <w:rPr>
                <w:rFonts w:cs="Times New Roman"/>
              </w:rPr>
            </w:pPr>
            <w:r w:rsidRPr="004A37BC">
              <w:rPr>
                <w:rFonts w:cs="Times New Roman"/>
              </w:rPr>
              <w:t>-2.9</w:t>
            </w:r>
          </w:p>
        </w:tc>
        <w:tc>
          <w:tcPr>
            <w:tcW w:w="1492" w:type="dxa"/>
          </w:tcPr>
          <w:p w14:paraId="5FECD331" w14:textId="77777777" w:rsidR="00653DCB" w:rsidRPr="004A37BC" w:rsidRDefault="00653DCB" w:rsidP="00543A53">
            <w:pPr>
              <w:pStyle w:val="NoSpacing"/>
              <w:rPr>
                <w:rFonts w:cs="Times New Roman"/>
              </w:rPr>
            </w:pPr>
            <w:r w:rsidRPr="004A37BC">
              <w:rPr>
                <w:rFonts w:cs="Times New Roman"/>
              </w:rPr>
              <w:t>11.79</w:t>
            </w:r>
          </w:p>
        </w:tc>
        <w:tc>
          <w:tcPr>
            <w:tcW w:w="1800" w:type="dxa"/>
          </w:tcPr>
          <w:p w14:paraId="1B6EF0EB" w14:textId="77777777" w:rsidR="00653DCB" w:rsidRPr="004A37BC" w:rsidRDefault="00653DCB" w:rsidP="00543A53">
            <w:pPr>
              <w:pStyle w:val="NoSpacing"/>
              <w:rPr>
                <w:rFonts w:cs="Times New Roman"/>
              </w:rPr>
            </w:pPr>
            <w:r w:rsidRPr="004A37BC">
              <w:rPr>
                <w:rFonts w:cs="Times New Roman"/>
              </w:rPr>
              <w:t>1.929</w:t>
            </w:r>
          </w:p>
        </w:tc>
        <w:tc>
          <w:tcPr>
            <w:tcW w:w="1260" w:type="dxa"/>
          </w:tcPr>
          <w:p w14:paraId="0A1D335A" w14:textId="77777777" w:rsidR="00653DCB" w:rsidRPr="004A37BC" w:rsidRDefault="00653DCB" w:rsidP="00543A53">
            <w:pPr>
              <w:pStyle w:val="NoSpacing"/>
              <w:rPr>
                <w:rFonts w:cs="Times New Roman"/>
              </w:rPr>
            </w:pPr>
            <w:r w:rsidRPr="004A37BC">
              <w:rPr>
                <w:rFonts w:cs="Times New Roman"/>
              </w:rPr>
              <w:t>223.6</w:t>
            </w:r>
          </w:p>
        </w:tc>
        <w:tc>
          <w:tcPr>
            <w:tcW w:w="1080" w:type="dxa"/>
          </w:tcPr>
          <w:p w14:paraId="1D47BE37" w14:textId="77777777" w:rsidR="00653DCB" w:rsidRPr="004A37BC" w:rsidRDefault="00653DCB" w:rsidP="00543A53">
            <w:pPr>
              <w:pStyle w:val="NoSpacing"/>
              <w:rPr>
                <w:rFonts w:cs="Times New Roman"/>
              </w:rPr>
            </w:pPr>
            <w:r w:rsidRPr="004A37BC">
              <w:rPr>
                <w:rFonts w:cs="Times New Roman"/>
              </w:rPr>
              <w:t>0.054</w:t>
            </w:r>
          </w:p>
        </w:tc>
        <w:tc>
          <w:tcPr>
            <w:tcW w:w="1800" w:type="dxa"/>
          </w:tcPr>
          <w:p w14:paraId="6459187F"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3.7%</w:t>
            </w:r>
          </w:p>
        </w:tc>
      </w:tr>
      <w:tr w:rsidR="00653DCB" w14:paraId="457DF9D9" w14:textId="77777777" w:rsidTr="00275C3D">
        <w:trPr>
          <w:trHeight w:hRule="exact" w:val="316"/>
        </w:trPr>
        <w:tc>
          <w:tcPr>
            <w:tcW w:w="1023" w:type="dxa"/>
          </w:tcPr>
          <w:p w14:paraId="2EF7A285" w14:textId="77777777" w:rsidR="00653DCB" w:rsidRPr="004A37BC" w:rsidRDefault="00653DCB" w:rsidP="00543A53">
            <w:pPr>
              <w:pStyle w:val="NoSpacing"/>
              <w:rPr>
                <w:rFonts w:cs="Times New Roman"/>
              </w:rPr>
            </w:pPr>
            <w:r w:rsidRPr="004A37BC">
              <w:rPr>
                <w:rFonts w:cs="Times New Roman"/>
              </w:rPr>
              <w:t>-2.8</w:t>
            </w:r>
          </w:p>
        </w:tc>
        <w:tc>
          <w:tcPr>
            <w:tcW w:w="1492" w:type="dxa"/>
          </w:tcPr>
          <w:p w14:paraId="6D22A24E" w14:textId="77777777" w:rsidR="00653DCB" w:rsidRPr="004A37BC" w:rsidRDefault="00653DCB" w:rsidP="00543A53">
            <w:pPr>
              <w:pStyle w:val="NoSpacing"/>
              <w:rPr>
                <w:rFonts w:cs="Times New Roman"/>
              </w:rPr>
            </w:pPr>
            <w:r w:rsidRPr="004A37BC">
              <w:rPr>
                <w:rFonts w:cs="Times New Roman"/>
              </w:rPr>
              <w:t>10.66</w:t>
            </w:r>
          </w:p>
        </w:tc>
        <w:tc>
          <w:tcPr>
            <w:tcW w:w="1800" w:type="dxa"/>
          </w:tcPr>
          <w:p w14:paraId="64B969F1" w14:textId="77777777" w:rsidR="00653DCB" w:rsidRPr="004A37BC" w:rsidRDefault="00653DCB" w:rsidP="00543A53">
            <w:pPr>
              <w:pStyle w:val="NoSpacing"/>
              <w:rPr>
                <w:rFonts w:cs="Times New Roman"/>
              </w:rPr>
            </w:pPr>
            <w:r w:rsidRPr="004A37BC">
              <w:rPr>
                <w:rFonts w:cs="Times New Roman"/>
              </w:rPr>
              <w:t>1.862</w:t>
            </w:r>
          </w:p>
        </w:tc>
        <w:tc>
          <w:tcPr>
            <w:tcW w:w="1260" w:type="dxa"/>
          </w:tcPr>
          <w:p w14:paraId="38223A10" w14:textId="77777777" w:rsidR="00653DCB" w:rsidRPr="004A37BC" w:rsidRDefault="00653DCB" w:rsidP="00543A53">
            <w:pPr>
              <w:pStyle w:val="NoSpacing"/>
              <w:rPr>
                <w:rFonts w:cs="Times New Roman"/>
              </w:rPr>
            </w:pPr>
            <w:r w:rsidRPr="004A37BC">
              <w:rPr>
                <w:rFonts w:cs="Times New Roman"/>
              </w:rPr>
              <w:t>175.1</w:t>
            </w:r>
          </w:p>
        </w:tc>
        <w:tc>
          <w:tcPr>
            <w:tcW w:w="1080" w:type="dxa"/>
          </w:tcPr>
          <w:p w14:paraId="141A46CA" w14:textId="77777777" w:rsidR="00653DCB" w:rsidRPr="004A37BC" w:rsidRDefault="00653DCB" w:rsidP="00543A53">
            <w:pPr>
              <w:pStyle w:val="NoSpacing"/>
              <w:rPr>
                <w:rFonts w:cs="Times New Roman"/>
              </w:rPr>
            </w:pPr>
            <w:r w:rsidRPr="004A37BC">
              <w:rPr>
                <w:rFonts w:cs="Times New Roman"/>
              </w:rPr>
              <w:t>0.047</w:t>
            </w:r>
          </w:p>
        </w:tc>
        <w:tc>
          <w:tcPr>
            <w:tcW w:w="1800" w:type="dxa"/>
          </w:tcPr>
          <w:p w14:paraId="4F1A7817"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3.2%</w:t>
            </w:r>
          </w:p>
        </w:tc>
      </w:tr>
      <w:tr w:rsidR="00653DCB" w14:paraId="3E618A49" w14:textId="77777777" w:rsidTr="00275C3D">
        <w:trPr>
          <w:trHeight w:hRule="exact" w:val="271"/>
        </w:trPr>
        <w:tc>
          <w:tcPr>
            <w:tcW w:w="1023" w:type="dxa"/>
          </w:tcPr>
          <w:p w14:paraId="0CE6DE77" w14:textId="77777777" w:rsidR="00653DCB" w:rsidRPr="004A37BC" w:rsidRDefault="00653DCB" w:rsidP="00543A53">
            <w:pPr>
              <w:pStyle w:val="NoSpacing"/>
              <w:rPr>
                <w:rFonts w:cs="Times New Roman"/>
              </w:rPr>
            </w:pPr>
            <w:r w:rsidRPr="004A37BC">
              <w:rPr>
                <w:rFonts w:cs="Times New Roman"/>
              </w:rPr>
              <w:t>-2.7</w:t>
            </w:r>
          </w:p>
        </w:tc>
        <w:tc>
          <w:tcPr>
            <w:tcW w:w="1492" w:type="dxa"/>
          </w:tcPr>
          <w:p w14:paraId="0FF12C89" w14:textId="77777777" w:rsidR="00653DCB" w:rsidRPr="004A37BC" w:rsidRDefault="00653DCB" w:rsidP="00543A53">
            <w:pPr>
              <w:pStyle w:val="NoSpacing"/>
              <w:rPr>
                <w:rFonts w:cs="Times New Roman"/>
              </w:rPr>
            </w:pPr>
            <w:r w:rsidRPr="004A37BC">
              <w:rPr>
                <w:rFonts w:cs="Times New Roman"/>
              </w:rPr>
              <w:t>9.65</w:t>
            </w:r>
          </w:p>
        </w:tc>
        <w:tc>
          <w:tcPr>
            <w:tcW w:w="1800" w:type="dxa"/>
          </w:tcPr>
          <w:p w14:paraId="32464B2D" w14:textId="77777777" w:rsidR="00653DCB" w:rsidRPr="004A37BC" w:rsidRDefault="00653DCB" w:rsidP="00543A53">
            <w:pPr>
              <w:pStyle w:val="NoSpacing"/>
              <w:rPr>
                <w:rFonts w:cs="Times New Roman"/>
              </w:rPr>
            </w:pPr>
            <w:r w:rsidRPr="004A37BC">
              <w:rPr>
                <w:rFonts w:cs="Times New Roman"/>
              </w:rPr>
              <w:t>1.794</w:t>
            </w:r>
          </w:p>
        </w:tc>
        <w:tc>
          <w:tcPr>
            <w:tcW w:w="1260" w:type="dxa"/>
          </w:tcPr>
          <w:p w14:paraId="4DBEDB28" w14:textId="77777777" w:rsidR="00653DCB" w:rsidRPr="004A37BC" w:rsidRDefault="00653DCB" w:rsidP="00543A53">
            <w:pPr>
              <w:pStyle w:val="NoSpacing"/>
              <w:rPr>
                <w:rFonts w:cs="Times New Roman"/>
              </w:rPr>
            </w:pPr>
            <w:r w:rsidRPr="004A37BC">
              <w:rPr>
                <w:rFonts w:cs="Times New Roman"/>
              </w:rPr>
              <w:t>140.6</w:t>
            </w:r>
          </w:p>
        </w:tc>
        <w:tc>
          <w:tcPr>
            <w:tcW w:w="1080" w:type="dxa"/>
          </w:tcPr>
          <w:p w14:paraId="2DEA7742" w14:textId="77777777" w:rsidR="00653DCB" w:rsidRPr="004A37BC" w:rsidRDefault="00653DCB" w:rsidP="00543A53">
            <w:pPr>
              <w:pStyle w:val="NoSpacing"/>
              <w:rPr>
                <w:rFonts w:cs="Times New Roman"/>
              </w:rPr>
            </w:pPr>
            <w:r w:rsidRPr="004A37BC">
              <w:rPr>
                <w:rFonts w:cs="Times New Roman"/>
              </w:rPr>
              <w:t>0.044</w:t>
            </w:r>
          </w:p>
        </w:tc>
        <w:tc>
          <w:tcPr>
            <w:tcW w:w="1800" w:type="dxa"/>
          </w:tcPr>
          <w:p w14:paraId="16EDDDC5"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3.0%</w:t>
            </w:r>
          </w:p>
        </w:tc>
      </w:tr>
      <w:tr w:rsidR="00653DCB" w14:paraId="1EEBEB00" w14:textId="77777777" w:rsidTr="003931B7">
        <w:tc>
          <w:tcPr>
            <w:tcW w:w="1023" w:type="dxa"/>
          </w:tcPr>
          <w:p w14:paraId="3F02E371" w14:textId="77777777" w:rsidR="00653DCB" w:rsidRPr="004A37BC" w:rsidRDefault="00653DCB" w:rsidP="00543A53">
            <w:pPr>
              <w:pStyle w:val="NoSpacing"/>
              <w:rPr>
                <w:rFonts w:cs="Times New Roman"/>
              </w:rPr>
            </w:pPr>
            <w:r w:rsidRPr="004A37BC">
              <w:rPr>
                <w:rFonts w:cs="Times New Roman"/>
              </w:rPr>
              <w:t>-2.6</w:t>
            </w:r>
          </w:p>
        </w:tc>
        <w:tc>
          <w:tcPr>
            <w:tcW w:w="1492" w:type="dxa"/>
          </w:tcPr>
          <w:p w14:paraId="6CDC467B" w14:textId="77777777" w:rsidR="00653DCB" w:rsidRPr="004A37BC" w:rsidRDefault="00653DCB" w:rsidP="00543A53">
            <w:pPr>
              <w:pStyle w:val="NoSpacing"/>
              <w:rPr>
                <w:rFonts w:cs="Times New Roman"/>
              </w:rPr>
            </w:pPr>
            <w:r w:rsidRPr="004A37BC">
              <w:rPr>
                <w:rFonts w:cs="Times New Roman"/>
              </w:rPr>
              <w:t>8.73</w:t>
            </w:r>
          </w:p>
        </w:tc>
        <w:tc>
          <w:tcPr>
            <w:tcW w:w="1800" w:type="dxa"/>
          </w:tcPr>
          <w:p w14:paraId="5988D41E" w14:textId="77777777" w:rsidR="00653DCB" w:rsidRPr="004A37BC" w:rsidRDefault="00653DCB" w:rsidP="00543A53">
            <w:pPr>
              <w:pStyle w:val="NoSpacing"/>
              <w:rPr>
                <w:rFonts w:cs="Times New Roman"/>
              </w:rPr>
            </w:pPr>
            <w:r w:rsidRPr="004A37BC">
              <w:rPr>
                <w:rFonts w:cs="Times New Roman"/>
              </w:rPr>
              <w:t>1.728</w:t>
            </w:r>
          </w:p>
        </w:tc>
        <w:tc>
          <w:tcPr>
            <w:tcW w:w="1260" w:type="dxa"/>
          </w:tcPr>
          <w:p w14:paraId="713E716A" w14:textId="77777777" w:rsidR="00653DCB" w:rsidRPr="004A37BC" w:rsidRDefault="00653DCB" w:rsidP="00543A53">
            <w:pPr>
              <w:pStyle w:val="NoSpacing"/>
              <w:rPr>
                <w:rFonts w:cs="Times New Roman"/>
              </w:rPr>
            </w:pPr>
            <w:r w:rsidRPr="004A37BC">
              <w:rPr>
                <w:rFonts w:cs="Times New Roman"/>
              </w:rPr>
              <w:t>114.8</w:t>
            </w:r>
            <w:r w:rsidRPr="004A37BC">
              <w:rPr>
                <w:rFonts w:eastAsiaTheme="minorHAnsi" w:cs="Times New Roman"/>
                <w:color w:val="000000"/>
                <w:kern w:val="0"/>
                <w:lang w:eastAsia="en-US" w:bidi="ar-SA"/>
              </w:rPr>
              <w:t>‡</w:t>
            </w:r>
          </w:p>
        </w:tc>
        <w:tc>
          <w:tcPr>
            <w:tcW w:w="1080" w:type="dxa"/>
          </w:tcPr>
          <w:p w14:paraId="0391ECA4" w14:textId="77777777" w:rsidR="00653DCB" w:rsidRPr="004A37BC" w:rsidRDefault="00653DCB" w:rsidP="00543A53">
            <w:pPr>
              <w:pStyle w:val="NoSpacing"/>
              <w:rPr>
                <w:rFonts w:cs="Times New Roman"/>
              </w:rPr>
            </w:pPr>
            <w:r w:rsidRPr="004A37BC">
              <w:rPr>
                <w:rFonts w:cs="Times New Roman"/>
              </w:rPr>
              <w:t>0.044</w:t>
            </w:r>
          </w:p>
        </w:tc>
        <w:tc>
          <w:tcPr>
            <w:tcW w:w="1800" w:type="dxa"/>
          </w:tcPr>
          <w:p w14:paraId="1030103F"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2.9%</w:t>
            </w:r>
          </w:p>
        </w:tc>
      </w:tr>
      <w:tr w:rsidR="00653DCB" w14:paraId="7D19506D" w14:textId="77777777" w:rsidTr="003931B7">
        <w:tc>
          <w:tcPr>
            <w:tcW w:w="1023" w:type="dxa"/>
          </w:tcPr>
          <w:p w14:paraId="5BA3159F" w14:textId="77777777" w:rsidR="00653DCB" w:rsidRPr="004A37BC" w:rsidRDefault="00653DCB" w:rsidP="00543A53">
            <w:pPr>
              <w:pStyle w:val="NoSpacing"/>
              <w:rPr>
                <w:rFonts w:cs="Times New Roman"/>
              </w:rPr>
            </w:pPr>
            <w:r w:rsidRPr="004A37BC">
              <w:rPr>
                <w:rFonts w:cs="Times New Roman"/>
              </w:rPr>
              <w:t>-2.5</w:t>
            </w:r>
          </w:p>
        </w:tc>
        <w:tc>
          <w:tcPr>
            <w:tcW w:w="1492" w:type="dxa"/>
          </w:tcPr>
          <w:p w14:paraId="1A815E90" w14:textId="77777777" w:rsidR="00653DCB" w:rsidRPr="004A37BC" w:rsidRDefault="00653DCB" w:rsidP="00543A53">
            <w:pPr>
              <w:pStyle w:val="NoSpacing"/>
              <w:rPr>
                <w:rFonts w:cs="Times New Roman"/>
              </w:rPr>
            </w:pPr>
            <w:r w:rsidRPr="004A37BC">
              <w:rPr>
                <w:rFonts w:cs="Times New Roman"/>
              </w:rPr>
              <w:t>7.90</w:t>
            </w:r>
          </w:p>
        </w:tc>
        <w:tc>
          <w:tcPr>
            <w:tcW w:w="1800" w:type="dxa"/>
          </w:tcPr>
          <w:p w14:paraId="70158011" w14:textId="77777777" w:rsidR="00653DCB" w:rsidRPr="004A37BC" w:rsidRDefault="00653DCB" w:rsidP="00543A53">
            <w:pPr>
              <w:pStyle w:val="NoSpacing"/>
              <w:rPr>
                <w:rFonts w:cs="Times New Roman"/>
              </w:rPr>
            </w:pPr>
            <w:r w:rsidRPr="004A37BC">
              <w:rPr>
                <w:rFonts w:cs="Times New Roman"/>
              </w:rPr>
              <w:t>1.661</w:t>
            </w:r>
          </w:p>
        </w:tc>
        <w:tc>
          <w:tcPr>
            <w:tcW w:w="1260" w:type="dxa"/>
          </w:tcPr>
          <w:p w14:paraId="03DF1081" w14:textId="77777777" w:rsidR="00653DCB" w:rsidRPr="004A37BC" w:rsidRDefault="00653DCB" w:rsidP="00543A53">
            <w:pPr>
              <w:pStyle w:val="NoSpacing"/>
              <w:rPr>
                <w:rFonts w:cs="Times New Roman"/>
              </w:rPr>
            </w:pPr>
            <w:r w:rsidRPr="004A37BC">
              <w:rPr>
                <w:rFonts w:cs="Times New Roman"/>
              </w:rPr>
              <w:t>94.8</w:t>
            </w:r>
            <w:r w:rsidRPr="004A37BC">
              <w:rPr>
                <w:rFonts w:eastAsiaTheme="minorHAnsi" w:cs="Times New Roman"/>
                <w:color w:val="000000"/>
                <w:kern w:val="0"/>
                <w:lang w:eastAsia="en-US" w:bidi="ar-SA"/>
              </w:rPr>
              <w:t>‡</w:t>
            </w:r>
          </w:p>
        </w:tc>
        <w:tc>
          <w:tcPr>
            <w:tcW w:w="1080" w:type="dxa"/>
          </w:tcPr>
          <w:p w14:paraId="1F88CFF3" w14:textId="77777777" w:rsidR="00653DCB" w:rsidRPr="004A37BC" w:rsidRDefault="00653DCB" w:rsidP="00543A53">
            <w:pPr>
              <w:pStyle w:val="NoSpacing"/>
              <w:rPr>
                <w:rFonts w:cs="Times New Roman"/>
              </w:rPr>
            </w:pPr>
            <w:r w:rsidRPr="004A37BC">
              <w:rPr>
                <w:rFonts w:cs="Times New Roman"/>
              </w:rPr>
              <w:t>0.045</w:t>
            </w:r>
          </w:p>
        </w:tc>
        <w:tc>
          <w:tcPr>
            <w:tcW w:w="1800" w:type="dxa"/>
          </w:tcPr>
          <w:p w14:paraId="5E9E61C3"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3.0%</w:t>
            </w:r>
          </w:p>
        </w:tc>
      </w:tr>
      <w:tr w:rsidR="00653DCB" w14:paraId="13A9A25C" w14:textId="77777777" w:rsidTr="003931B7">
        <w:tc>
          <w:tcPr>
            <w:tcW w:w="1023" w:type="dxa"/>
          </w:tcPr>
          <w:p w14:paraId="4F2F5697" w14:textId="77777777" w:rsidR="00653DCB" w:rsidRPr="004A37BC" w:rsidRDefault="00653DCB" w:rsidP="00543A53">
            <w:pPr>
              <w:pStyle w:val="NoSpacing"/>
              <w:rPr>
                <w:rFonts w:cs="Times New Roman"/>
              </w:rPr>
            </w:pPr>
            <w:r w:rsidRPr="004A37BC">
              <w:rPr>
                <w:rFonts w:cs="Times New Roman"/>
              </w:rPr>
              <w:t>-2.4</w:t>
            </w:r>
          </w:p>
        </w:tc>
        <w:tc>
          <w:tcPr>
            <w:tcW w:w="1492" w:type="dxa"/>
          </w:tcPr>
          <w:p w14:paraId="6619B565" w14:textId="77777777" w:rsidR="00653DCB" w:rsidRPr="004A37BC" w:rsidRDefault="00653DCB" w:rsidP="00543A53">
            <w:pPr>
              <w:pStyle w:val="NoSpacing"/>
              <w:rPr>
                <w:rFonts w:cs="Times New Roman"/>
              </w:rPr>
            </w:pPr>
            <w:r w:rsidRPr="004A37BC">
              <w:rPr>
                <w:rFonts w:cs="Times New Roman"/>
              </w:rPr>
              <w:t>7.15</w:t>
            </w:r>
          </w:p>
        </w:tc>
        <w:tc>
          <w:tcPr>
            <w:tcW w:w="1800" w:type="dxa"/>
          </w:tcPr>
          <w:p w14:paraId="0350DC08" w14:textId="77777777" w:rsidR="00653DCB" w:rsidRPr="004A37BC" w:rsidRDefault="00653DCB" w:rsidP="00543A53">
            <w:pPr>
              <w:pStyle w:val="NoSpacing"/>
              <w:rPr>
                <w:rFonts w:cs="Times New Roman"/>
              </w:rPr>
            </w:pPr>
            <w:r w:rsidRPr="004A37BC">
              <w:rPr>
                <w:rFonts w:cs="Times New Roman"/>
              </w:rPr>
              <w:t>1.595</w:t>
            </w:r>
          </w:p>
        </w:tc>
        <w:tc>
          <w:tcPr>
            <w:tcW w:w="1260" w:type="dxa"/>
          </w:tcPr>
          <w:p w14:paraId="5015C771" w14:textId="77777777" w:rsidR="00653DCB" w:rsidRPr="004A37BC" w:rsidRDefault="00653DCB" w:rsidP="00543A53">
            <w:pPr>
              <w:pStyle w:val="NoSpacing"/>
              <w:rPr>
                <w:rFonts w:cs="Times New Roman"/>
              </w:rPr>
            </w:pPr>
            <w:r w:rsidRPr="004A37BC">
              <w:rPr>
                <w:rFonts w:cs="Times New Roman"/>
              </w:rPr>
              <w:t>78.8</w:t>
            </w:r>
            <w:r w:rsidRPr="004A37BC">
              <w:rPr>
                <w:rFonts w:eastAsiaTheme="minorHAnsi" w:cs="Times New Roman"/>
                <w:color w:val="000000"/>
                <w:kern w:val="0"/>
                <w:lang w:eastAsia="en-US" w:bidi="ar-SA"/>
              </w:rPr>
              <w:t>‡</w:t>
            </w:r>
          </w:p>
        </w:tc>
        <w:tc>
          <w:tcPr>
            <w:tcW w:w="1080" w:type="dxa"/>
          </w:tcPr>
          <w:p w14:paraId="6E911E28" w14:textId="77777777" w:rsidR="00653DCB" w:rsidRPr="004A37BC" w:rsidRDefault="00653DCB" w:rsidP="00543A53">
            <w:pPr>
              <w:pStyle w:val="NoSpacing"/>
              <w:rPr>
                <w:rFonts w:cs="Times New Roman"/>
              </w:rPr>
            </w:pPr>
            <w:r w:rsidRPr="004A37BC">
              <w:rPr>
                <w:rFonts w:cs="Times New Roman"/>
              </w:rPr>
              <w:t>0.046</w:t>
            </w:r>
          </w:p>
        </w:tc>
        <w:tc>
          <w:tcPr>
            <w:tcW w:w="1800" w:type="dxa"/>
          </w:tcPr>
          <w:p w14:paraId="503EC8C9"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3.1%</w:t>
            </w:r>
          </w:p>
        </w:tc>
      </w:tr>
      <w:tr w:rsidR="00653DCB" w14:paraId="60A4ED8F" w14:textId="77777777" w:rsidTr="003931B7">
        <w:tc>
          <w:tcPr>
            <w:tcW w:w="1023" w:type="dxa"/>
          </w:tcPr>
          <w:p w14:paraId="6DC66701" w14:textId="77777777" w:rsidR="00653DCB" w:rsidRPr="004A37BC" w:rsidRDefault="00653DCB" w:rsidP="00543A53">
            <w:pPr>
              <w:pStyle w:val="NoSpacing"/>
              <w:rPr>
                <w:rFonts w:cs="Times New Roman"/>
              </w:rPr>
            </w:pPr>
            <w:r w:rsidRPr="004A37BC">
              <w:rPr>
                <w:rFonts w:cs="Times New Roman"/>
              </w:rPr>
              <w:t>-2.3</w:t>
            </w:r>
          </w:p>
        </w:tc>
        <w:tc>
          <w:tcPr>
            <w:tcW w:w="1492" w:type="dxa"/>
          </w:tcPr>
          <w:p w14:paraId="6F6A8B6B" w14:textId="77777777" w:rsidR="00653DCB" w:rsidRPr="004A37BC" w:rsidRDefault="00653DCB" w:rsidP="00543A53">
            <w:pPr>
              <w:pStyle w:val="NoSpacing"/>
              <w:rPr>
                <w:rFonts w:cs="Times New Roman"/>
              </w:rPr>
            </w:pPr>
            <w:r w:rsidRPr="004A37BC">
              <w:rPr>
                <w:rFonts w:cs="Times New Roman"/>
              </w:rPr>
              <w:t>6.47</w:t>
            </w:r>
          </w:p>
        </w:tc>
        <w:tc>
          <w:tcPr>
            <w:tcW w:w="1800" w:type="dxa"/>
          </w:tcPr>
          <w:p w14:paraId="65738406" w14:textId="77777777" w:rsidR="00653DCB" w:rsidRPr="004A37BC" w:rsidRDefault="00653DCB" w:rsidP="00543A53">
            <w:pPr>
              <w:pStyle w:val="NoSpacing"/>
              <w:rPr>
                <w:rFonts w:cs="Times New Roman"/>
              </w:rPr>
            </w:pPr>
            <w:r w:rsidRPr="004A37BC">
              <w:rPr>
                <w:rFonts w:cs="Times New Roman"/>
              </w:rPr>
              <w:t>1.530</w:t>
            </w:r>
          </w:p>
        </w:tc>
        <w:tc>
          <w:tcPr>
            <w:tcW w:w="1260" w:type="dxa"/>
          </w:tcPr>
          <w:p w14:paraId="1B9CD9A3" w14:textId="77777777" w:rsidR="00653DCB" w:rsidRPr="004A37BC" w:rsidRDefault="00653DCB" w:rsidP="00543A53">
            <w:pPr>
              <w:pStyle w:val="NoSpacing"/>
              <w:rPr>
                <w:rFonts w:cs="Times New Roman"/>
              </w:rPr>
            </w:pPr>
            <w:r w:rsidRPr="004A37BC">
              <w:rPr>
                <w:rFonts w:cs="Times New Roman"/>
              </w:rPr>
              <w:t>65.7</w:t>
            </w:r>
            <w:r w:rsidRPr="004A37BC">
              <w:rPr>
                <w:rFonts w:eastAsiaTheme="minorHAnsi" w:cs="Times New Roman"/>
                <w:color w:val="000000"/>
                <w:kern w:val="0"/>
                <w:lang w:eastAsia="en-US" w:bidi="ar-SA"/>
              </w:rPr>
              <w:t>‡</w:t>
            </w:r>
          </w:p>
        </w:tc>
        <w:tc>
          <w:tcPr>
            <w:tcW w:w="1080" w:type="dxa"/>
          </w:tcPr>
          <w:p w14:paraId="6B55F490" w14:textId="77777777" w:rsidR="00653DCB" w:rsidRPr="004A37BC" w:rsidRDefault="00653DCB" w:rsidP="00543A53">
            <w:pPr>
              <w:pStyle w:val="NoSpacing"/>
              <w:rPr>
                <w:rFonts w:cs="Times New Roman"/>
              </w:rPr>
            </w:pPr>
            <w:r w:rsidRPr="004A37BC">
              <w:rPr>
                <w:rFonts w:cs="Times New Roman"/>
              </w:rPr>
              <w:t>0.046</w:t>
            </w:r>
          </w:p>
        </w:tc>
        <w:tc>
          <w:tcPr>
            <w:tcW w:w="1800" w:type="dxa"/>
          </w:tcPr>
          <w:p w14:paraId="5B943AE9"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3.1%</w:t>
            </w:r>
          </w:p>
        </w:tc>
      </w:tr>
      <w:tr w:rsidR="00653DCB" w14:paraId="0E822448" w14:textId="77777777" w:rsidTr="003931B7">
        <w:tc>
          <w:tcPr>
            <w:tcW w:w="1023" w:type="dxa"/>
          </w:tcPr>
          <w:p w14:paraId="323A7CE3" w14:textId="77777777" w:rsidR="00653DCB" w:rsidRPr="004A37BC" w:rsidRDefault="00653DCB" w:rsidP="00543A53">
            <w:pPr>
              <w:pStyle w:val="NoSpacing"/>
              <w:rPr>
                <w:rFonts w:cs="Times New Roman"/>
              </w:rPr>
            </w:pPr>
            <w:r w:rsidRPr="004A37BC">
              <w:rPr>
                <w:rFonts w:cs="Times New Roman"/>
              </w:rPr>
              <w:t>-2.2</w:t>
            </w:r>
          </w:p>
        </w:tc>
        <w:tc>
          <w:tcPr>
            <w:tcW w:w="1492" w:type="dxa"/>
          </w:tcPr>
          <w:p w14:paraId="08D5E690" w14:textId="77777777" w:rsidR="00653DCB" w:rsidRPr="004A37BC" w:rsidRDefault="00653DCB" w:rsidP="00543A53">
            <w:pPr>
              <w:pStyle w:val="NoSpacing"/>
              <w:rPr>
                <w:rFonts w:cs="Times New Roman"/>
              </w:rPr>
            </w:pPr>
            <w:r w:rsidRPr="004A37BC">
              <w:rPr>
                <w:rFonts w:cs="Times New Roman"/>
              </w:rPr>
              <w:t>5.85</w:t>
            </w:r>
          </w:p>
        </w:tc>
        <w:tc>
          <w:tcPr>
            <w:tcW w:w="1800" w:type="dxa"/>
          </w:tcPr>
          <w:p w14:paraId="10FACA7A" w14:textId="77777777" w:rsidR="00653DCB" w:rsidRPr="004A37BC" w:rsidRDefault="00653DCB" w:rsidP="00543A53">
            <w:pPr>
              <w:pStyle w:val="NoSpacing"/>
              <w:rPr>
                <w:rFonts w:cs="Times New Roman"/>
              </w:rPr>
            </w:pPr>
            <w:r w:rsidRPr="004A37BC">
              <w:rPr>
                <w:rFonts w:cs="Times New Roman"/>
              </w:rPr>
              <w:t>1.466</w:t>
            </w:r>
          </w:p>
        </w:tc>
        <w:tc>
          <w:tcPr>
            <w:tcW w:w="1260" w:type="dxa"/>
          </w:tcPr>
          <w:p w14:paraId="00366B96" w14:textId="77777777" w:rsidR="00653DCB" w:rsidRPr="004A37BC" w:rsidRDefault="00653DCB" w:rsidP="00543A53">
            <w:pPr>
              <w:pStyle w:val="NoSpacing"/>
              <w:rPr>
                <w:rFonts w:cs="Times New Roman"/>
              </w:rPr>
            </w:pPr>
            <w:r w:rsidRPr="004A37BC">
              <w:rPr>
                <w:rFonts w:cs="Times New Roman"/>
              </w:rPr>
              <w:t>54.7</w:t>
            </w:r>
            <w:r w:rsidRPr="004A37BC">
              <w:rPr>
                <w:rFonts w:eastAsiaTheme="minorHAnsi" w:cs="Times New Roman"/>
                <w:color w:val="000000"/>
                <w:kern w:val="0"/>
                <w:lang w:eastAsia="en-US" w:bidi="ar-SA"/>
              </w:rPr>
              <w:t>‡</w:t>
            </w:r>
          </w:p>
        </w:tc>
        <w:tc>
          <w:tcPr>
            <w:tcW w:w="1080" w:type="dxa"/>
          </w:tcPr>
          <w:p w14:paraId="42CA14FC" w14:textId="77777777" w:rsidR="00653DCB" w:rsidRPr="004A37BC" w:rsidRDefault="00653DCB" w:rsidP="00543A53">
            <w:pPr>
              <w:pStyle w:val="NoSpacing"/>
              <w:rPr>
                <w:rFonts w:cs="Times New Roman"/>
              </w:rPr>
            </w:pPr>
            <w:r w:rsidRPr="004A37BC">
              <w:rPr>
                <w:rFonts w:cs="Times New Roman"/>
              </w:rPr>
              <w:t>0.044</w:t>
            </w:r>
          </w:p>
        </w:tc>
        <w:tc>
          <w:tcPr>
            <w:tcW w:w="1800" w:type="dxa"/>
          </w:tcPr>
          <w:p w14:paraId="5D93E9ED"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3.0%</w:t>
            </w:r>
          </w:p>
        </w:tc>
      </w:tr>
      <w:tr w:rsidR="00653DCB" w14:paraId="0BC211E1" w14:textId="77777777" w:rsidTr="003931B7">
        <w:tc>
          <w:tcPr>
            <w:tcW w:w="1023" w:type="dxa"/>
          </w:tcPr>
          <w:p w14:paraId="31B6A94F" w14:textId="77777777" w:rsidR="00653DCB" w:rsidRPr="004A37BC" w:rsidRDefault="00653DCB" w:rsidP="00543A53">
            <w:pPr>
              <w:pStyle w:val="NoSpacing"/>
              <w:rPr>
                <w:rFonts w:cs="Times New Roman"/>
              </w:rPr>
            </w:pPr>
            <w:r w:rsidRPr="004A37BC">
              <w:rPr>
                <w:rFonts w:cs="Times New Roman"/>
              </w:rPr>
              <w:t>-2.1</w:t>
            </w:r>
          </w:p>
        </w:tc>
        <w:tc>
          <w:tcPr>
            <w:tcW w:w="1492" w:type="dxa"/>
          </w:tcPr>
          <w:p w14:paraId="478A1CA8" w14:textId="77777777" w:rsidR="00653DCB" w:rsidRPr="004A37BC" w:rsidRDefault="00653DCB" w:rsidP="00543A53">
            <w:pPr>
              <w:pStyle w:val="NoSpacing"/>
              <w:rPr>
                <w:rFonts w:cs="Times New Roman"/>
              </w:rPr>
            </w:pPr>
            <w:r w:rsidRPr="004A37BC">
              <w:rPr>
                <w:rFonts w:cs="Times New Roman"/>
              </w:rPr>
              <w:t>5.30</w:t>
            </w:r>
          </w:p>
        </w:tc>
        <w:tc>
          <w:tcPr>
            <w:tcW w:w="1800" w:type="dxa"/>
          </w:tcPr>
          <w:p w14:paraId="187A3485" w14:textId="77777777" w:rsidR="00653DCB" w:rsidRPr="004A37BC" w:rsidRDefault="00653DCB" w:rsidP="00543A53">
            <w:pPr>
              <w:pStyle w:val="NoSpacing"/>
              <w:rPr>
                <w:rFonts w:cs="Times New Roman"/>
              </w:rPr>
            </w:pPr>
            <w:r w:rsidRPr="004A37BC">
              <w:rPr>
                <w:rFonts w:cs="Times New Roman"/>
              </w:rPr>
              <w:t>1.403</w:t>
            </w:r>
          </w:p>
        </w:tc>
        <w:tc>
          <w:tcPr>
            <w:tcW w:w="1260" w:type="dxa"/>
          </w:tcPr>
          <w:p w14:paraId="233DA3D7" w14:textId="77777777" w:rsidR="00653DCB" w:rsidRPr="00923DD3" w:rsidRDefault="00653DCB" w:rsidP="00543A53">
            <w:pPr>
              <w:pStyle w:val="NoSpacing"/>
              <w:rPr>
                <w:rFonts w:cs="Times New Roman"/>
                <w:i/>
                <w:iCs/>
              </w:rPr>
            </w:pPr>
            <w:r w:rsidRPr="00923DD3">
              <w:rPr>
                <w:rFonts w:cs="Times New Roman"/>
                <w:i/>
                <w:iCs/>
              </w:rPr>
              <w:t>45.3</w:t>
            </w:r>
          </w:p>
        </w:tc>
        <w:tc>
          <w:tcPr>
            <w:tcW w:w="1080" w:type="dxa"/>
          </w:tcPr>
          <w:p w14:paraId="0EC33A90" w14:textId="77777777" w:rsidR="00653DCB" w:rsidRPr="004A37BC" w:rsidRDefault="00653DCB" w:rsidP="00543A53">
            <w:pPr>
              <w:pStyle w:val="NoSpacing"/>
              <w:rPr>
                <w:rFonts w:cs="Times New Roman"/>
              </w:rPr>
            </w:pPr>
            <w:r w:rsidRPr="004A37BC">
              <w:rPr>
                <w:rFonts w:cs="Times New Roman"/>
              </w:rPr>
              <w:t>0.041</w:t>
            </w:r>
          </w:p>
        </w:tc>
        <w:tc>
          <w:tcPr>
            <w:tcW w:w="1800" w:type="dxa"/>
          </w:tcPr>
          <w:p w14:paraId="72AA566A"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2.7%</w:t>
            </w:r>
          </w:p>
        </w:tc>
      </w:tr>
      <w:tr w:rsidR="00653DCB" w14:paraId="26EA07B8" w14:textId="77777777" w:rsidTr="003931B7">
        <w:tc>
          <w:tcPr>
            <w:tcW w:w="1023" w:type="dxa"/>
          </w:tcPr>
          <w:p w14:paraId="2F349179" w14:textId="77777777" w:rsidR="00653DCB" w:rsidRPr="004A37BC" w:rsidRDefault="00653DCB" w:rsidP="00543A53">
            <w:pPr>
              <w:pStyle w:val="NoSpacing"/>
              <w:rPr>
                <w:rFonts w:cs="Times New Roman"/>
              </w:rPr>
            </w:pPr>
            <w:r w:rsidRPr="004A37BC">
              <w:rPr>
                <w:rFonts w:cs="Times New Roman"/>
              </w:rPr>
              <w:t>-2.0</w:t>
            </w:r>
          </w:p>
        </w:tc>
        <w:tc>
          <w:tcPr>
            <w:tcW w:w="1492" w:type="dxa"/>
          </w:tcPr>
          <w:p w14:paraId="0EBD934C" w14:textId="77777777" w:rsidR="00653DCB" w:rsidRPr="004A37BC" w:rsidRDefault="00653DCB" w:rsidP="00543A53">
            <w:pPr>
              <w:pStyle w:val="NoSpacing"/>
              <w:rPr>
                <w:rFonts w:cs="Times New Roman"/>
              </w:rPr>
            </w:pPr>
            <w:r w:rsidRPr="004A37BC">
              <w:rPr>
                <w:rFonts w:cs="Times New Roman"/>
              </w:rPr>
              <w:t>4.79</w:t>
            </w:r>
          </w:p>
        </w:tc>
        <w:tc>
          <w:tcPr>
            <w:tcW w:w="1800" w:type="dxa"/>
          </w:tcPr>
          <w:p w14:paraId="19C870E7" w14:textId="77777777" w:rsidR="00653DCB" w:rsidRPr="004A37BC" w:rsidRDefault="00653DCB" w:rsidP="00543A53">
            <w:pPr>
              <w:pStyle w:val="NoSpacing"/>
              <w:rPr>
                <w:rFonts w:cs="Times New Roman"/>
              </w:rPr>
            </w:pPr>
            <w:r w:rsidRPr="004A37BC">
              <w:rPr>
                <w:rFonts w:cs="Times New Roman"/>
              </w:rPr>
              <w:t>1.343</w:t>
            </w:r>
          </w:p>
        </w:tc>
        <w:tc>
          <w:tcPr>
            <w:tcW w:w="1260" w:type="dxa"/>
          </w:tcPr>
          <w:p w14:paraId="399FFA6D" w14:textId="77777777" w:rsidR="00653DCB" w:rsidRPr="00923DD3" w:rsidRDefault="00653DCB" w:rsidP="00543A53">
            <w:pPr>
              <w:pStyle w:val="NoSpacing"/>
              <w:rPr>
                <w:rFonts w:cs="Times New Roman"/>
                <w:i/>
                <w:iCs/>
              </w:rPr>
            </w:pPr>
            <w:r w:rsidRPr="00923DD3">
              <w:rPr>
                <w:rFonts w:cs="Times New Roman"/>
                <w:i/>
                <w:iCs/>
              </w:rPr>
              <w:t>37.2</w:t>
            </w:r>
          </w:p>
        </w:tc>
        <w:tc>
          <w:tcPr>
            <w:tcW w:w="1080" w:type="dxa"/>
          </w:tcPr>
          <w:p w14:paraId="4956FD64" w14:textId="77777777" w:rsidR="00653DCB" w:rsidRPr="004A37BC" w:rsidRDefault="00653DCB" w:rsidP="00543A53">
            <w:pPr>
              <w:pStyle w:val="NoSpacing"/>
              <w:rPr>
                <w:rFonts w:cs="Times New Roman"/>
              </w:rPr>
            </w:pPr>
            <w:r w:rsidRPr="004A37BC">
              <w:rPr>
                <w:rFonts w:cs="Times New Roman"/>
              </w:rPr>
              <w:t>0.036</w:t>
            </w:r>
          </w:p>
        </w:tc>
        <w:tc>
          <w:tcPr>
            <w:tcW w:w="1800" w:type="dxa"/>
          </w:tcPr>
          <w:p w14:paraId="2943BE58"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2.4%</w:t>
            </w:r>
          </w:p>
        </w:tc>
      </w:tr>
      <w:tr w:rsidR="00653DCB" w14:paraId="6EF93A91" w14:textId="77777777" w:rsidTr="003931B7">
        <w:tc>
          <w:tcPr>
            <w:tcW w:w="1023" w:type="dxa"/>
          </w:tcPr>
          <w:p w14:paraId="7B36D7D6" w14:textId="77777777" w:rsidR="00653DCB" w:rsidRPr="004A37BC" w:rsidRDefault="00653DCB" w:rsidP="00543A53">
            <w:pPr>
              <w:pStyle w:val="NoSpacing"/>
              <w:rPr>
                <w:rFonts w:cs="Times New Roman"/>
              </w:rPr>
            </w:pPr>
            <w:r w:rsidRPr="004A37BC">
              <w:rPr>
                <w:rFonts w:cs="Times New Roman"/>
              </w:rPr>
              <w:t>-1.9</w:t>
            </w:r>
          </w:p>
        </w:tc>
        <w:tc>
          <w:tcPr>
            <w:tcW w:w="1492" w:type="dxa"/>
          </w:tcPr>
          <w:p w14:paraId="02031D37" w14:textId="77777777" w:rsidR="00653DCB" w:rsidRPr="004A37BC" w:rsidRDefault="00653DCB" w:rsidP="00543A53">
            <w:pPr>
              <w:pStyle w:val="NoSpacing"/>
              <w:rPr>
                <w:rFonts w:cs="Times New Roman"/>
              </w:rPr>
            </w:pPr>
            <w:r w:rsidRPr="004A37BC">
              <w:rPr>
                <w:rFonts w:cs="Times New Roman"/>
              </w:rPr>
              <w:t>4.34</w:t>
            </w:r>
          </w:p>
        </w:tc>
        <w:tc>
          <w:tcPr>
            <w:tcW w:w="1800" w:type="dxa"/>
          </w:tcPr>
          <w:p w14:paraId="4C846CD2" w14:textId="77777777" w:rsidR="00653DCB" w:rsidRPr="004A37BC" w:rsidRDefault="00653DCB" w:rsidP="00543A53">
            <w:pPr>
              <w:pStyle w:val="NoSpacing"/>
              <w:rPr>
                <w:rFonts w:cs="Times New Roman"/>
              </w:rPr>
            </w:pPr>
            <w:r w:rsidRPr="004A37BC">
              <w:rPr>
                <w:rFonts w:cs="Times New Roman"/>
              </w:rPr>
              <w:t>1.286</w:t>
            </w:r>
          </w:p>
        </w:tc>
        <w:tc>
          <w:tcPr>
            <w:tcW w:w="1260" w:type="dxa"/>
          </w:tcPr>
          <w:p w14:paraId="0F4F83B8" w14:textId="77777777" w:rsidR="00653DCB" w:rsidRPr="00923DD3" w:rsidRDefault="00653DCB" w:rsidP="00543A53">
            <w:pPr>
              <w:pStyle w:val="NoSpacing"/>
              <w:rPr>
                <w:rFonts w:cs="Times New Roman"/>
                <w:i/>
                <w:iCs/>
              </w:rPr>
            </w:pPr>
            <w:r w:rsidRPr="00923DD3">
              <w:rPr>
                <w:rFonts w:cs="Times New Roman"/>
                <w:i/>
                <w:iCs/>
              </w:rPr>
              <w:t>30.1</w:t>
            </w:r>
          </w:p>
        </w:tc>
        <w:tc>
          <w:tcPr>
            <w:tcW w:w="1080" w:type="dxa"/>
          </w:tcPr>
          <w:p w14:paraId="787CE2A3" w14:textId="77777777" w:rsidR="00653DCB" w:rsidRPr="004A37BC" w:rsidRDefault="00653DCB" w:rsidP="00543A53">
            <w:pPr>
              <w:pStyle w:val="NoSpacing"/>
              <w:rPr>
                <w:rFonts w:cs="Times New Roman"/>
              </w:rPr>
            </w:pPr>
            <w:r w:rsidRPr="004A37BC">
              <w:rPr>
                <w:rFonts w:cs="Times New Roman"/>
              </w:rPr>
              <w:t>0.029</w:t>
            </w:r>
          </w:p>
        </w:tc>
        <w:tc>
          <w:tcPr>
            <w:tcW w:w="1800" w:type="dxa"/>
          </w:tcPr>
          <w:p w14:paraId="6A0F7B47"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1.9%</w:t>
            </w:r>
          </w:p>
        </w:tc>
      </w:tr>
      <w:tr w:rsidR="00653DCB" w14:paraId="13D0E249" w14:textId="77777777" w:rsidTr="003931B7">
        <w:tc>
          <w:tcPr>
            <w:tcW w:w="1023" w:type="dxa"/>
          </w:tcPr>
          <w:p w14:paraId="6A48BC77" w14:textId="77777777" w:rsidR="00653DCB" w:rsidRPr="004A37BC" w:rsidRDefault="00653DCB" w:rsidP="00543A53">
            <w:pPr>
              <w:pStyle w:val="NoSpacing"/>
              <w:rPr>
                <w:rFonts w:cs="Times New Roman"/>
              </w:rPr>
            </w:pPr>
            <w:r w:rsidRPr="004A37BC">
              <w:rPr>
                <w:rFonts w:cs="Times New Roman"/>
              </w:rPr>
              <w:t>-1.8</w:t>
            </w:r>
          </w:p>
        </w:tc>
        <w:tc>
          <w:tcPr>
            <w:tcW w:w="1492" w:type="dxa"/>
          </w:tcPr>
          <w:p w14:paraId="037321BD" w14:textId="77777777" w:rsidR="00653DCB" w:rsidRPr="004A37BC" w:rsidRDefault="00653DCB" w:rsidP="00543A53">
            <w:pPr>
              <w:pStyle w:val="NoSpacing"/>
              <w:rPr>
                <w:rFonts w:cs="Times New Roman"/>
              </w:rPr>
            </w:pPr>
            <w:r w:rsidRPr="004A37BC">
              <w:rPr>
                <w:rFonts w:cs="Times New Roman"/>
              </w:rPr>
              <w:t>3.92</w:t>
            </w:r>
          </w:p>
        </w:tc>
        <w:tc>
          <w:tcPr>
            <w:tcW w:w="1800" w:type="dxa"/>
          </w:tcPr>
          <w:p w14:paraId="72E1F07A" w14:textId="77777777" w:rsidR="00653DCB" w:rsidRPr="004A37BC" w:rsidRDefault="00653DCB" w:rsidP="00543A53">
            <w:pPr>
              <w:pStyle w:val="NoSpacing"/>
              <w:rPr>
                <w:rFonts w:cs="Times New Roman"/>
              </w:rPr>
            </w:pPr>
            <w:r w:rsidRPr="004A37BC">
              <w:rPr>
                <w:rFonts w:cs="Times New Roman"/>
              </w:rPr>
              <w:t>1.235</w:t>
            </w:r>
          </w:p>
        </w:tc>
        <w:tc>
          <w:tcPr>
            <w:tcW w:w="1260" w:type="dxa"/>
          </w:tcPr>
          <w:p w14:paraId="60D36796" w14:textId="77777777" w:rsidR="00653DCB" w:rsidRPr="00923DD3" w:rsidRDefault="00653DCB" w:rsidP="00543A53">
            <w:pPr>
              <w:pStyle w:val="NoSpacing"/>
              <w:rPr>
                <w:rFonts w:cs="Times New Roman"/>
                <w:i/>
                <w:iCs/>
              </w:rPr>
            </w:pPr>
            <w:r w:rsidRPr="00923DD3">
              <w:rPr>
                <w:rFonts w:cs="Times New Roman"/>
                <w:i/>
                <w:iCs/>
              </w:rPr>
              <w:t>23.6</w:t>
            </w:r>
          </w:p>
        </w:tc>
        <w:tc>
          <w:tcPr>
            <w:tcW w:w="1080" w:type="dxa"/>
          </w:tcPr>
          <w:p w14:paraId="2939DBA8" w14:textId="77777777" w:rsidR="00653DCB" w:rsidRPr="004A37BC" w:rsidRDefault="00653DCB" w:rsidP="00543A53">
            <w:pPr>
              <w:pStyle w:val="NoSpacing"/>
              <w:rPr>
                <w:rFonts w:cs="Times New Roman"/>
              </w:rPr>
            </w:pPr>
            <w:r w:rsidRPr="004A37BC">
              <w:rPr>
                <w:rFonts w:cs="Times New Roman"/>
              </w:rPr>
              <w:t>0.019</w:t>
            </w:r>
          </w:p>
        </w:tc>
        <w:tc>
          <w:tcPr>
            <w:tcW w:w="1800" w:type="dxa"/>
          </w:tcPr>
          <w:p w14:paraId="2BAC80AB"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1.3%</w:t>
            </w:r>
          </w:p>
        </w:tc>
      </w:tr>
      <w:tr w:rsidR="00653DCB" w14:paraId="1F276EA6" w14:textId="77777777" w:rsidTr="003931B7">
        <w:tc>
          <w:tcPr>
            <w:tcW w:w="1023" w:type="dxa"/>
          </w:tcPr>
          <w:p w14:paraId="4F85CCE8" w14:textId="77777777" w:rsidR="00653DCB" w:rsidRPr="004A37BC" w:rsidRDefault="00653DCB" w:rsidP="00543A53">
            <w:pPr>
              <w:pStyle w:val="NoSpacing"/>
              <w:rPr>
                <w:rFonts w:cs="Times New Roman"/>
              </w:rPr>
            </w:pPr>
            <w:r w:rsidRPr="004A37BC">
              <w:rPr>
                <w:rFonts w:cs="Times New Roman"/>
              </w:rPr>
              <w:t>-1.7</w:t>
            </w:r>
          </w:p>
        </w:tc>
        <w:tc>
          <w:tcPr>
            <w:tcW w:w="1492" w:type="dxa"/>
          </w:tcPr>
          <w:p w14:paraId="5B12B792" w14:textId="77777777" w:rsidR="00653DCB" w:rsidRPr="004A37BC" w:rsidRDefault="00653DCB" w:rsidP="00543A53">
            <w:pPr>
              <w:pStyle w:val="NoSpacing"/>
              <w:rPr>
                <w:rFonts w:cs="Times New Roman"/>
              </w:rPr>
            </w:pPr>
            <w:r w:rsidRPr="004A37BC">
              <w:rPr>
                <w:rFonts w:cs="Times New Roman"/>
              </w:rPr>
              <w:t>3.55</w:t>
            </w:r>
          </w:p>
        </w:tc>
        <w:tc>
          <w:tcPr>
            <w:tcW w:w="1800" w:type="dxa"/>
          </w:tcPr>
          <w:p w14:paraId="78194D54" w14:textId="77777777" w:rsidR="00653DCB" w:rsidRPr="004A37BC" w:rsidRDefault="00653DCB" w:rsidP="00543A53">
            <w:pPr>
              <w:pStyle w:val="NoSpacing"/>
              <w:rPr>
                <w:rFonts w:cs="Times New Roman"/>
              </w:rPr>
            </w:pPr>
            <w:r w:rsidRPr="004A37BC">
              <w:rPr>
                <w:rFonts w:cs="Times New Roman"/>
              </w:rPr>
              <w:t>1.197</w:t>
            </w:r>
          </w:p>
        </w:tc>
        <w:tc>
          <w:tcPr>
            <w:tcW w:w="1260" w:type="dxa"/>
          </w:tcPr>
          <w:p w14:paraId="7DB881ED" w14:textId="77777777" w:rsidR="00653DCB" w:rsidRPr="00923DD3" w:rsidRDefault="00653DCB" w:rsidP="00543A53">
            <w:pPr>
              <w:pStyle w:val="NoSpacing"/>
              <w:rPr>
                <w:rFonts w:cs="Times New Roman"/>
                <w:i/>
                <w:iCs/>
              </w:rPr>
            </w:pPr>
            <w:r w:rsidRPr="00923DD3">
              <w:rPr>
                <w:rFonts w:cs="Times New Roman"/>
                <w:i/>
                <w:iCs/>
              </w:rPr>
              <w:t>17.6</w:t>
            </w:r>
          </w:p>
        </w:tc>
        <w:tc>
          <w:tcPr>
            <w:tcW w:w="1080" w:type="dxa"/>
          </w:tcPr>
          <w:p w14:paraId="2A5D6F63" w14:textId="77777777" w:rsidR="00653DCB" w:rsidRPr="004A37BC" w:rsidRDefault="00653DCB" w:rsidP="00543A53">
            <w:pPr>
              <w:pStyle w:val="NoSpacing"/>
              <w:rPr>
                <w:rFonts w:cs="Times New Roman"/>
              </w:rPr>
            </w:pPr>
            <w:r w:rsidRPr="004A37BC">
              <w:rPr>
                <w:rFonts w:cs="Times New Roman"/>
              </w:rPr>
              <w:t>0.009</w:t>
            </w:r>
          </w:p>
        </w:tc>
        <w:tc>
          <w:tcPr>
            <w:tcW w:w="1800" w:type="dxa"/>
          </w:tcPr>
          <w:p w14:paraId="5D870068"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0.6%</w:t>
            </w:r>
          </w:p>
        </w:tc>
      </w:tr>
      <w:tr w:rsidR="00653DCB" w14:paraId="0A529E74" w14:textId="77777777" w:rsidTr="003931B7">
        <w:tc>
          <w:tcPr>
            <w:tcW w:w="1023" w:type="dxa"/>
          </w:tcPr>
          <w:p w14:paraId="46CC9A1D" w14:textId="77777777" w:rsidR="00653DCB" w:rsidRPr="004A37BC" w:rsidRDefault="00653DCB" w:rsidP="00543A53">
            <w:pPr>
              <w:pStyle w:val="NoSpacing"/>
              <w:rPr>
                <w:rFonts w:cs="Times New Roman"/>
              </w:rPr>
            </w:pPr>
            <w:r w:rsidRPr="004A37BC">
              <w:rPr>
                <w:rFonts w:cs="Times New Roman"/>
              </w:rPr>
              <w:t>-1.6</w:t>
            </w:r>
          </w:p>
        </w:tc>
        <w:tc>
          <w:tcPr>
            <w:tcW w:w="1492" w:type="dxa"/>
          </w:tcPr>
          <w:p w14:paraId="32413323" w14:textId="77777777" w:rsidR="00653DCB" w:rsidRPr="004A37BC" w:rsidRDefault="00653DCB" w:rsidP="00543A53">
            <w:pPr>
              <w:pStyle w:val="NoSpacing"/>
              <w:rPr>
                <w:rFonts w:cs="Times New Roman"/>
              </w:rPr>
            </w:pPr>
            <w:r w:rsidRPr="004A37BC">
              <w:rPr>
                <w:rFonts w:cs="Times New Roman"/>
              </w:rPr>
              <w:t>3.21</w:t>
            </w:r>
          </w:p>
        </w:tc>
        <w:tc>
          <w:tcPr>
            <w:tcW w:w="1800" w:type="dxa"/>
          </w:tcPr>
          <w:p w14:paraId="0A538F13" w14:textId="77777777" w:rsidR="00653DCB" w:rsidRPr="004A37BC" w:rsidRDefault="00653DCB" w:rsidP="00543A53">
            <w:pPr>
              <w:pStyle w:val="NoSpacing"/>
              <w:rPr>
                <w:rFonts w:cs="Times New Roman"/>
              </w:rPr>
            </w:pPr>
            <w:r w:rsidRPr="004A37BC">
              <w:rPr>
                <w:rFonts w:cs="Times New Roman"/>
              </w:rPr>
              <w:t>1.205</w:t>
            </w:r>
          </w:p>
        </w:tc>
        <w:tc>
          <w:tcPr>
            <w:tcW w:w="1260" w:type="dxa"/>
          </w:tcPr>
          <w:p w14:paraId="42A478B6" w14:textId="77777777" w:rsidR="00653DCB" w:rsidRPr="00923DD3" w:rsidRDefault="00653DCB" w:rsidP="00543A53">
            <w:pPr>
              <w:pStyle w:val="NoSpacing"/>
              <w:rPr>
                <w:rFonts w:cs="Times New Roman"/>
                <w:i/>
                <w:iCs/>
              </w:rPr>
            </w:pPr>
            <w:r w:rsidRPr="00923DD3">
              <w:rPr>
                <w:rFonts w:cs="Times New Roman"/>
                <w:i/>
                <w:iCs/>
              </w:rPr>
              <w:t>11.3</w:t>
            </w:r>
          </w:p>
        </w:tc>
        <w:tc>
          <w:tcPr>
            <w:tcW w:w="1080" w:type="dxa"/>
          </w:tcPr>
          <w:p w14:paraId="3AB7A96C" w14:textId="77777777" w:rsidR="00653DCB" w:rsidRPr="004A37BC" w:rsidRDefault="00653DCB" w:rsidP="00543A53">
            <w:pPr>
              <w:pStyle w:val="NoSpacing"/>
              <w:rPr>
                <w:rFonts w:cs="Times New Roman"/>
              </w:rPr>
            </w:pPr>
            <w:r w:rsidRPr="004A37BC">
              <w:rPr>
                <w:rFonts w:cs="Times New Roman"/>
              </w:rPr>
              <w:t>0.022</w:t>
            </w:r>
          </w:p>
        </w:tc>
        <w:tc>
          <w:tcPr>
            <w:tcW w:w="1800" w:type="dxa"/>
          </w:tcPr>
          <w:p w14:paraId="32EB5CC4"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1.5%</w:t>
            </w:r>
          </w:p>
        </w:tc>
      </w:tr>
      <w:tr w:rsidR="00653DCB" w14:paraId="2EC2AB14" w14:textId="77777777" w:rsidTr="003931B7">
        <w:tc>
          <w:tcPr>
            <w:tcW w:w="1023" w:type="dxa"/>
          </w:tcPr>
          <w:p w14:paraId="1E95740D" w14:textId="77777777" w:rsidR="00653DCB" w:rsidRPr="004A37BC" w:rsidRDefault="00653DCB" w:rsidP="00543A53">
            <w:pPr>
              <w:pStyle w:val="NoSpacing"/>
              <w:rPr>
                <w:rFonts w:cs="Times New Roman"/>
              </w:rPr>
            </w:pPr>
            <w:r w:rsidRPr="004A37BC">
              <w:rPr>
                <w:rFonts w:cs="Times New Roman"/>
              </w:rPr>
              <w:t>-1.5*</w:t>
            </w:r>
          </w:p>
        </w:tc>
        <w:tc>
          <w:tcPr>
            <w:tcW w:w="1492" w:type="dxa"/>
          </w:tcPr>
          <w:p w14:paraId="6691DB21" w14:textId="77777777" w:rsidR="00653DCB" w:rsidRPr="004A37BC" w:rsidRDefault="00653DCB" w:rsidP="00543A53">
            <w:pPr>
              <w:pStyle w:val="NoSpacing"/>
              <w:rPr>
                <w:rFonts w:cs="Times New Roman"/>
              </w:rPr>
            </w:pPr>
            <w:r w:rsidRPr="004A37BC">
              <w:rPr>
                <w:rFonts w:cs="Times New Roman"/>
              </w:rPr>
              <w:t>2.91</w:t>
            </w:r>
          </w:p>
        </w:tc>
        <w:tc>
          <w:tcPr>
            <w:tcW w:w="1800" w:type="dxa"/>
          </w:tcPr>
          <w:p w14:paraId="04907AFA" w14:textId="77777777" w:rsidR="00653DCB" w:rsidRPr="004A37BC" w:rsidRDefault="00653DCB" w:rsidP="00543A53">
            <w:pPr>
              <w:pStyle w:val="NoSpacing"/>
              <w:rPr>
                <w:rFonts w:cs="Times New Roman"/>
              </w:rPr>
            </w:pPr>
            <w:r w:rsidRPr="004A37BC">
              <w:rPr>
                <w:rFonts w:cs="Times New Roman"/>
              </w:rPr>
              <w:t>0.781</w:t>
            </w:r>
          </w:p>
        </w:tc>
        <w:tc>
          <w:tcPr>
            <w:tcW w:w="1260" w:type="dxa"/>
          </w:tcPr>
          <w:p w14:paraId="35CA7135" w14:textId="03250725" w:rsidR="00653DCB" w:rsidRPr="004A37BC" w:rsidRDefault="00653DCB" w:rsidP="00543A53">
            <w:pPr>
              <w:pStyle w:val="NoSpacing"/>
              <w:rPr>
                <w:rFonts w:cs="Times New Roman"/>
              </w:rPr>
            </w:pPr>
            <w:r w:rsidRPr="004A37BC">
              <w:rPr>
                <w:rFonts w:cs="Times New Roman"/>
              </w:rPr>
              <w:t>-49.1</w:t>
            </w:r>
            <w:r w:rsidR="00923DD3">
              <w:rPr>
                <w:rFonts w:cs="Times New Roman"/>
              </w:rPr>
              <w:t>*</w:t>
            </w:r>
          </w:p>
        </w:tc>
        <w:tc>
          <w:tcPr>
            <w:tcW w:w="1080" w:type="dxa"/>
          </w:tcPr>
          <w:p w14:paraId="3265D46C" w14:textId="77777777" w:rsidR="00653DCB" w:rsidRPr="004A37BC" w:rsidRDefault="00653DCB" w:rsidP="00543A53">
            <w:pPr>
              <w:pStyle w:val="NoSpacing"/>
              <w:rPr>
                <w:rFonts w:cs="Times New Roman"/>
              </w:rPr>
            </w:pPr>
            <w:r w:rsidRPr="004A37BC">
              <w:rPr>
                <w:rFonts w:cs="Times New Roman"/>
              </w:rPr>
              <w:t>6.336</w:t>
            </w:r>
          </w:p>
        </w:tc>
        <w:tc>
          <w:tcPr>
            <w:tcW w:w="1800" w:type="dxa"/>
          </w:tcPr>
          <w:p w14:paraId="079308BB" w14:textId="77777777" w:rsidR="00653DCB" w:rsidRDefault="00653DCB" w:rsidP="00543A53">
            <w:pPr>
              <w:pStyle w:val="NoSpacing"/>
              <w:rPr>
                <w:rFonts w:ascii="Arial" w:eastAsiaTheme="minorHAnsi" w:hAnsi="Arial"/>
                <w:color w:val="000000"/>
                <w:kern w:val="0"/>
                <w:sz w:val="20"/>
                <w:szCs w:val="20"/>
                <w:lang w:eastAsia="en-US" w:bidi="ar-SA"/>
              </w:rPr>
            </w:pPr>
            <w:r>
              <w:rPr>
                <w:rFonts w:ascii="Arial" w:eastAsiaTheme="minorHAnsi" w:hAnsi="Arial"/>
                <w:color w:val="000000"/>
                <w:kern w:val="0"/>
                <w:sz w:val="20"/>
                <w:szCs w:val="20"/>
                <w:lang w:eastAsia="en-US" w:bidi="ar-SA"/>
              </w:rPr>
              <w:t>428.5%</w:t>
            </w:r>
          </w:p>
        </w:tc>
      </w:tr>
      <w:tr w:rsidR="000977AC" w14:paraId="49A22936" w14:textId="77777777" w:rsidTr="00E80D26">
        <w:tc>
          <w:tcPr>
            <w:tcW w:w="8455" w:type="dxa"/>
            <w:gridSpan w:val="6"/>
          </w:tcPr>
          <w:p w14:paraId="7D29DA21" w14:textId="77777777" w:rsidR="000977AC" w:rsidRPr="004A37BC" w:rsidRDefault="000977AC"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 xml:space="preserve">*Above </w:t>
            </w:r>
            <w:proofErr w:type="gramStart"/>
            <w:r w:rsidR="009A6FFF" w:rsidRPr="004A37BC">
              <w:rPr>
                <w:rFonts w:eastAsiaTheme="minorHAnsi" w:cs="Times New Roman"/>
                <w:color w:val="000000"/>
                <w:kern w:val="0"/>
                <w:lang w:eastAsia="en-US" w:bidi="ar-SA"/>
              </w:rPr>
              <w:t>χ</w:t>
            </w:r>
            <w:r w:rsidR="009A6FFF" w:rsidRPr="004A37BC">
              <w:rPr>
                <w:rFonts w:eastAsiaTheme="minorHAnsi" w:cs="Times New Roman"/>
                <w:color w:val="000000"/>
                <w:kern w:val="0"/>
                <w:vertAlign w:val="subscript"/>
                <w:lang w:eastAsia="en-US" w:bidi="ar-SA"/>
              </w:rPr>
              <w:t>ς</w:t>
            </w:r>
            <w:r w:rsidR="009A6FFF" w:rsidRPr="004A37BC">
              <w:rPr>
                <w:rFonts w:eastAsiaTheme="minorHAnsi" w:cs="Times New Roman"/>
                <w:color w:val="000000"/>
                <w:kern w:val="0"/>
                <w:lang w:eastAsia="en-US" w:bidi="ar-SA"/>
              </w:rPr>
              <w:t xml:space="preserve"> </w:t>
            </w:r>
            <w:r w:rsidR="009A6FFF">
              <w:rPr>
                <w:rFonts w:eastAsiaTheme="minorHAnsi" w:cs="Times New Roman"/>
                <w:color w:val="000000"/>
                <w:kern w:val="0"/>
                <w:lang w:eastAsia="en-US" w:bidi="ar-SA"/>
              </w:rPr>
              <w:t xml:space="preserve"> =</w:t>
            </w:r>
            <w:proofErr w:type="gramEnd"/>
            <w:r w:rsidR="009A6FFF">
              <w:rPr>
                <w:rFonts w:eastAsiaTheme="minorHAnsi" w:cs="Times New Roman"/>
                <w:color w:val="000000"/>
                <w:kern w:val="0"/>
                <w:lang w:eastAsia="en-US" w:bidi="ar-SA"/>
              </w:rPr>
              <w:t xml:space="preserve"> </w:t>
            </w:r>
            <w:r w:rsidRPr="004A37BC">
              <w:rPr>
                <w:rFonts w:eastAsiaTheme="minorHAnsi" w:cs="Times New Roman"/>
                <w:color w:val="000000"/>
                <w:kern w:val="0"/>
                <w:lang w:eastAsia="en-US" w:bidi="ar-SA"/>
              </w:rPr>
              <w:t>-1.527…</w:t>
            </w:r>
            <w:r w:rsidR="009A6FFF">
              <w:rPr>
                <w:rFonts w:eastAsiaTheme="minorHAnsi" w:cs="Times New Roman"/>
                <w:color w:val="000000"/>
                <w:kern w:val="0"/>
                <w:lang w:eastAsia="en-US" w:bidi="ar-SA"/>
              </w:rPr>
              <w:t xml:space="preserve"> the analysis breaks down</w:t>
            </w:r>
            <w:r w:rsidRPr="004A37BC">
              <w:rPr>
                <w:rFonts w:eastAsiaTheme="minorHAnsi" w:cs="Times New Roman"/>
                <w:color w:val="000000"/>
                <w:kern w:val="0"/>
                <w:lang w:eastAsia="en-US" w:bidi="ar-SA"/>
              </w:rPr>
              <w:t>.</w:t>
            </w:r>
          </w:p>
        </w:tc>
      </w:tr>
      <w:tr w:rsidR="000977AC" w14:paraId="2CDD9AC4" w14:textId="77777777" w:rsidTr="00E80D26">
        <w:tc>
          <w:tcPr>
            <w:tcW w:w="8455" w:type="dxa"/>
            <w:gridSpan w:val="6"/>
          </w:tcPr>
          <w:p w14:paraId="6D13D4F5" w14:textId="77777777" w:rsidR="000977AC" w:rsidRPr="004A37BC" w:rsidRDefault="000977AC"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 xml:space="preserve">‡These are approximately the stated range </w:t>
            </w:r>
            <w:r w:rsidR="009A7035" w:rsidRPr="004A37BC">
              <w:rPr>
                <w:rFonts w:eastAsiaTheme="minorHAnsi" w:cs="Times New Roman"/>
                <w:color w:val="000000"/>
                <w:kern w:val="0"/>
                <w:lang w:eastAsia="en-US" w:bidi="ar-SA"/>
              </w:rPr>
              <w:t xml:space="preserve">of validity </w:t>
            </w:r>
            <w:r w:rsidRPr="004A37BC">
              <w:rPr>
                <w:rFonts w:eastAsiaTheme="minorHAnsi" w:cs="Times New Roman"/>
                <w:color w:val="000000"/>
                <w:kern w:val="0"/>
                <w:lang w:eastAsia="en-US" w:bidi="ar-SA"/>
              </w:rPr>
              <w:t>by Sing.</w:t>
            </w:r>
          </w:p>
        </w:tc>
      </w:tr>
    </w:tbl>
    <w:p w14:paraId="739A4F92" w14:textId="654EA824" w:rsidR="009A6FFF" w:rsidRPr="009A6FFF" w:rsidRDefault="009A6FFF" w:rsidP="00543A53">
      <w:pPr>
        <w:pStyle w:val="NoSpacing"/>
      </w:pPr>
    </w:p>
    <w:p w14:paraId="01EB779F" w14:textId="571B2BBD" w:rsidR="00933E61" w:rsidRDefault="00933E61" w:rsidP="00543A53">
      <w:pPr>
        <w:pStyle w:val="NoSpacing"/>
        <w:rPr>
          <w:b/>
          <w:bCs/>
        </w:rPr>
      </w:pPr>
    </w:p>
    <w:p w14:paraId="05186440" w14:textId="04A8550D" w:rsidR="00553A7F" w:rsidRDefault="00553A7F" w:rsidP="00543A53">
      <w:pPr>
        <w:pStyle w:val="NoSpacing"/>
      </w:pPr>
    </w:p>
    <w:p w14:paraId="006280F0" w14:textId="77777777" w:rsidR="00553A7F" w:rsidRDefault="00553A7F" w:rsidP="00543A53">
      <w:pPr>
        <w:pStyle w:val="NoSpacing"/>
      </w:pPr>
      <w:r>
        <w:br w:type="page"/>
      </w:r>
    </w:p>
    <w:tbl>
      <w:tblPr>
        <w:tblStyle w:val="TableGrid"/>
        <w:tblW w:w="0" w:type="auto"/>
        <w:tblLook w:val="04A0" w:firstRow="1" w:lastRow="0" w:firstColumn="1" w:lastColumn="0" w:noHBand="0" w:noVBand="1"/>
      </w:tblPr>
      <w:tblGrid>
        <w:gridCol w:w="739"/>
        <w:gridCol w:w="1523"/>
        <w:gridCol w:w="1134"/>
        <w:gridCol w:w="897"/>
        <w:gridCol w:w="1157"/>
        <w:gridCol w:w="1205"/>
        <w:gridCol w:w="1315"/>
        <w:gridCol w:w="1380"/>
      </w:tblGrid>
      <w:tr w:rsidR="00C354DE" w14:paraId="44709874" w14:textId="77777777" w:rsidTr="00E80D26">
        <w:tc>
          <w:tcPr>
            <w:tcW w:w="9350" w:type="dxa"/>
            <w:gridSpan w:val="8"/>
          </w:tcPr>
          <w:p w14:paraId="61EFB7F2" w14:textId="56956B3E" w:rsidR="00C354DE" w:rsidRPr="003669BD" w:rsidRDefault="00C354DE" w:rsidP="00981E49">
            <w:pPr>
              <w:pStyle w:val="NoSpacing"/>
              <w:outlineLvl w:val="1"/>
              <w:rPr>
                <w:rFonts w:eastAsiaTheme="minorHAnsi" w:cs="Times New Roman"/>
                <w:b/>
                <w:bCs/>
                <w:color w:val="000000"/>
                <w:kern w:val="0"/>
                <w:lang w:eastAsia="en-US" w:bidi="ar-SA"/>
              </w:rPr>
            </w:pPr>
            <w:bookmarkStart w:id="55" w:name="_Toc171582147"/>
            <w:r w:rsidRPr="003669BD">
              <w:rPr>
                <w:rFonts w:eastAsiaTheme="minorHAnsi" w:cs="Times New Roman"/>
                <w:b/>
                <w:bCs/>
                <w:color w:val="000000"/>
                <w:kern w:val="0"/>
                <w:lang w:eastAsia="en-US" w:bidi="ar-SA"/>
              </w:rPr>
              <w:lastRenderedPageBreak/>
              <w:t>Table II</w:t>
            </w:r>
            <w:r>
              <w:rPr>
                <w:rFonts w:eastAsiaTheme="minorHAnsi" w:cs="Times New Roman"/>
                <w:b/>
                <w:bCs/>
                <w:color w:val="000000"/>
                <w:kern w:val="0"/>
                <w:lang w:eastAsia="en-US" w:bidi="ar-SA"/>
              </w:rPr>
              <w:t>I</w:t>
            </w:r>
            <w:r>
              <w:rPr>
                <w:rFonts w:eastAsiaTheme="minorHAnsi" w:cs="Times New Roman"/>
                <w:color w:val="000000"/>
                <w:kern w:val="0"/>
                <w:lang w:eastAsia="en-US" w:bidi="ar-SA"/>
              </w:rPr>
              <w:t xml:space="preserve">: The ratio and relationship between χ monolayer equivalence and the BET monolayer equivalence.  </w:t>
            </w:r>
            <w:r w:rsidR="004C5520">
              <w:rPr>
                <w:rFonts w:eastAsiaTheme="minorHAnsi" w:cs="Times New Roman"/>
                <w:color w:val="000000"/>
                <w:kern w:val="0"/>
                <w:lang w:eastAsia="en-US" w:bidi="ar-SA"/>
              </w:rPr>
              <w:t>The traditional transform method and</w:t>
            </w:r>
            <w:r>
              <w:rPr>
                <w:rFonts w:eastAsiaTheme="minorHAnsi" w:cs="Times New Roman"/>
                <w:color w:val="000000"/>
                <w:kern w:val="0"/>
                <w:lang w:eastAsia="en-US" w:bidi="ar-SA"/>
              </w:rPr>
              <w:t xml:space="preserve"> the “new” </w:t>
            </w:r>
            <w:r w:rsidR="00BF4B9F">
              <w:rPr>
                <w:rFonts w:eastAsiaTheme="minorHAnsi" w:cs="Times New Roman"/>
                <w:color w:val="000000"/>
                <w:kern w:val="0"/>
                <w:lang w:eastAsia="en-US" w:bidi="ar-SA"/>
              </w:rPr>
              <w:t xml:space="preserve">(Rouquerol) </w:t>
            </w:r>
            <w:r>
              <w:rPr>
                <w:rFonts w:eastAsiaTheme="minorHAnsi" w:cs="Times New Roman"/>
                <w:color w:val="000000"/>
                <w:kern w:val="0"/>
                <w:lang w:eastAsia="en-US" w:bidi="ar-SA"/>
              </w:rPr>
              <w:t>criterion</w:t>
            </w:r>
            <w:r w:rsidR="004C5520">
              <w:rPr>
                <w:rFonts w:eastAsiaTheme="minorHAnsi" w:cs="Times New Roman"/>
                <w:color w:val="000000"/>
                <w:kern w:val="0"/>
                <w:lang w:eastAsia="en-US" w:bidi="ar-SA"/>
              </w:rPr>
              <w:t xml:space="preserve"> are used</w:t>
            </w:r>
            <w:r>
              <w:rPr>
                <w:rFonts w:eastAsiaTheme="minorHAnsi" w:cs="Times New Roman"/>
                <w:color w:val="000000"/>
                <w:kern w:val="0"/>
                <w:lang w:eastAsia="en-US" w:bidi="ar-SA"/>
              </w:rPr>
              <w:t xml:space="preserve">.  Lower limit </w:t>
            </w:r>
            <w:r w:rsidR="004C5520">
              <w:rPr>
                <w:rFonts w:eastAsiaTheme="minorHAnsi" w:cs="Times New Roman"/>
                <w:color w:val="000000"/>
                <w:kern w:val="0"/>
                <w:lang w:eastAsia="en-US" w:bidi="ar-SA"/>
              </w:rPr>
              <w:t xml:space="preserve">is </w:t>
            </w:r>
            <w:r>
              <w:rPr>
                <w:rFonts w:eastAsiaTheme="minorHAnsi" w:cs="Times New Roman"/>
                <w:color w:val="000000"/>
                <w:kern w:val="0"/>
                <w:lang w:eastAsia="en-US" w:bidi="ar-SA"/>
              </w:rPr>
              <w:t xml:space="preserve">set at </w:t>
            </w:r>
            <w:r w:rsidR="004C5520">
              <w:rPr>
                <w:rFonts w:eastAsiaTheme="minorHAnsi" w:cs="Times New Roman"/>
                <w:i/>
                <w:iCs/>
                <w:color w:val="000000"/>
                <w:kern w:val="0"/>
                <w:lang w:eastAsia="en-US" w:bidi="ar-SA"/>
              </w:rPr>
              <w:t>X</w:t>
            </w:r>
            <w:r w:rsidR="004C5520">
              <w:rPr>
                <w:rFonts w:eastAsiaTheme="minorHAnsi" w:cs="Times New Roman"/>
                <w:color w:val="000000"/>
                <w:kern w:val="0"/>
                <w:lang w:eastAsia="en-US" w:bidi="ar-SA"/>
              </w:rPr>
              <w:t xml:space="preserve"> </w:t>
            </w:r>
            <w:r>
              <w:rPr>
                <w:rFonts w:eastAsiaTheme="minorHAnsi" w:cs="Times New Roman"/>
                <w:color w:val="000000"/>
                <w:kern w:val="0"/>
                <w:lang w:eastAsia="en-US" w:bidi="ar-SA"/>
              </w:rPr>
              <w:t>= 0.01</w:t>
            </w:r>
            <w:bookmarkEnd w:id="55"/>
          </w:p>
        </w:tc>
      </w:tr>
      <w:tr w:rsidR="00C87911" w14:paraId="5E46E50D" w14:textId="77777777" w:rsidTr="00C354DE">
        <w:tc>
          <w:tcPr>
            <w:tcW w:w="739" w:type="dxa"/>
          </w:tcPr>
          <w:p w14:paraId="2E95764E" w14:textId="77777777" w:rsidR="00C87911" w:rsidRPr="00BC2316" w:rsidRDefault="00C87911" w:rsidP="00543A53">
            <w:pPr>
              <w:pStyle w:val="NoSpacing"/>
              <w:rPr>
                <w:rFonts w:eastAsiaTheme="minorHAnsi" w:cs="Times New Roman"/>
                <w:i/>
                <w:iCs/>
                <w:color w:val="000000"/>
                <w:kern w:val="0"/>
                <w:lang w:eastAsia="en-US" w:bidi="ar-SA"/>
              </w:rPr>
            </w:pPr>
            <w:r>
              <w:rPr>
                <w:rFonts w:eastAsiaTheme="minorHAnsi" w:cs="Times New Roman"/>
                <w:color w:val="000000"/>
                <w:kern w:val="0"/>
                <w:lang w:eastAsia="en-US" w:bidi="ar-SA"/>
              </w:rPr>
              <w:t>χ</w:t>
            </w:r>
            <w:r w:rsidRPr="00BC2316">
              <w:rPr>
                <w:rFonts w:eastAsiaTheme="minorHAnsi" w:cs="Times New Roman"/>
                <w:color w:val="000000"/>
                <w:kern w:val="0"/>
                <w:vertAlign w:val="subscript"/>
                <w:lang w:eastAsia="en-US" w:bidi="ar-SA"/>
              </w:rPr>
              <w:t>ς</w:t>
            </w:r>
            <w:r>
              <w:rPr>
                <w:rFonts w:eastAsiaTheme="minorHAnsi" w:cs="Times New Roman"/>
                <w:color w:val="000000"/>
                <w:kern w:val="0"/>
                <w:vertAlign w:val="subscript"/>
                <w:lang w:eastAsia="en-US" w:bidi="ar-SA"/>
              </w:rPr>
              <w:t xml:space="preserve"> </w:t>
            </w:r>
          </w:p>
        </w:tc>
        <w:tc>
          <w:tcPr>
            <w:tcW w:w="1523" w:type="dxa"/>
          </w:tcPr>
          <w:p w14:paraId="36E851D9" w14:textId="77777777" w:rsidR="00C87911" w:rsidRDefault="00C87911" w:rsidP="00543A53">
            <w:pPr>
              <w:pStyle w:val="NoSpacing"/>
              <w:rPr>
                <w:rFonts w:eastAsiaTheme="minorHAnsi" w:cs="Times New Roman"/>
                <w:i/>
                <w:iCs/>
                <w:color w:val="000000"/>
                <w:kern w:val="0"/>
                <w:lang w:eastAsia="en-US" w:bidi="ar-SA"/>
              </w:rPr>
            </w:pPr>
            <w:r>
              <w:rPr>
                <w:rFonts w:eastAsiaTheme="minorHAnsi" w:cs="Times New Roman"/>
                <w:i/>
                <w:iCs/>
                <w:color w:val="000000"/>
                <w:kern w:val="0"/>
                <w:lang w:eastAsia="en-US" w:bidi="ar-SA"/>
              </w:rPr>
              <w:t>-</w:t>
            </w:r>
            <w:r>
              <w:rPr>
                <w:rFonts w:cs="Times New Roman"/>
                <w:iCs/>
              </w:rPr>
              <w:t xml:space="preserve"> </w:t>
            </w:r>
            <w:r w:rsidRPr="006A6A16">
              <w:rPr>
                <w:rFonts w:cs="Times New Roman"/>
                <w:i/>
              </w:rPr>
              <w:t>Ē</w:t>
            </w:r>
            <w:r>
              <w:rPr>
                <w:rFonts w:eastAsiaTheme="minorHAnsi" w:cs="Times New Roman"/>
                <w:color w:val="000000"/>
                <w:kern w:val="0"/>
                <w:vertAlign w:val="subscript"/>
                <w:lang w:eastAsia="en-US" w:bidi="ar-SA"/>
              </w:rPr>
              <w:t xml:space="preserve">a </w:t>
            </w:r>
            <w:r>
              <w:rPr>
                <w:rFonts w:eastAsiaTheme="minorHAnsi" w:cs="Times New Roman"/>
                <w:color w:val="000000"/>
                <w:kern w:val="0"/>
                <w:lang w:eastAsia="en-US" w:bidi="ar-SA"/>
              </w:rPr>
              <w:t>/kJ mol</w:t>
            </w:r>
            <w:r w:rsidRPr="00B1171E">
              <w:rPr>
                <w:rFonts w:eastAsiaTheme="minorHAnsi" w:cs="Times New Roman"/>
                <w:color w:val="000000"/>
                <w:kern w:val="0"/>
                <w:vertAlign w:val="superscript"/>
                <w:lang w:eastAsia="en-US" w:bidi="ar-SA"/>
              </w:rPr>
              <w:t>-1</w:t>
            </w:r>
          </w:p>
          <w:p w14:paraId="0998BE90" w14:textId="77777777" w:rsidR="00C87911" w:rsidRPr="00BC2316" w:rsidRDefault="00C87911" w:rsidP="00543A53">
            <w:pPr>
              <w:pStyle w:val="NoSpacing"/>
              <w:rPr>
                <w:rFonts w:eastAsiaTheme="minorHAnsi" w:cs="Times New Roman"/>
                <w:i/>
                <w:iCs/>
                <w:color w:val="000000"/>
                <w:kern w:val="0"/>
                <w:lang w:eastAsia="en-US" w:bidi="ar-SA"/>
              </w:rPr>
            </w:pPr>
            <w:r>
              <w:rPr>
                <w:rFonts w:eastAsiaTheme="minorHAnsi" w:cs="Times New Roman"/>
                <w:i/>
                <w:iCs/>
                <w:color w:val="000000"/>
                <w:kern w:val="0"/>
                <w:lang w:eastAsia="en-US" w:bidi="ar-SA"/>
              </w:rPr>
              <w:t>T=77.35 K</w:t>
            </w:r>
          </w:p>
        </w:tc>
        <w:tc>
          <w:tcPr>
            <w:tcW w:w="1134" w:type="dxa"/>
          </w:tcPr>
          <w:p w14:paraId="43D34DCA" w14:textId="05C8F128" w:rsidR="00C87911" w:rsidRPr="00BC2316" w:rsidRDefault="00C87911" w:rsidP="00543A53">
            <w:pPr>
              <w:pStyle w:val="NoSpacing"/>
              <w:rPr>
                <w:rFonts w:eastAsiaTheme="minorHAnsi" w:cs="Times New Roman"/>
                <w:color w:val="000000"/>
                <w:kern w:val="0"/>
                <w:lang w:eastAsia="en-US" w:bidi="ar-SA"/>
              </w:rPr>
            </w:pPr>
            <w:proofErr w:type="gramStart"/>
            <w:r w:rsidRPr="00D73C65">
              <w:rPr>
                <w:rFonts w:eastAsiaTheme="minorHAnsi" w:cs="Times New Roman"/>
                <w:i/>
                <w:iCs/>
                <w:color w:val="000000"/>
                <w:kern w:val="0"/>
                <w:u w:val="single"/>
                <w:lang w:eastAsia="en-US" w:bidi="ar-SA"/>
              </w:rPr>
              <w:t>n</w:t>
            </w:r>
            <w:r w:rsidRPr="00D73C65">
              <w:rPr>
                <w:rFonts w:eastAsiaTheme="minorHAnsi" w:cs="Times New Roman"/>
                <w:color w:val="000000"/>
                <w:kern w:val="0"/>
                <w:u w:val="single"/>
                <w:vertAlign w:val="subscript"/>
                <w:lang w:eastAsia="en-US" w:bidi="ar-SA"/>
              </w:rPr>
              <w:t>m</w:t>
            </w:r>
            <w:r w:rsidRPr="00D73C65">
              <w:rPr>
                <w:rFonts w:eastAsiaTheme="minorHAnsi" w:cs="Times New Roman"/>
                <w:color w:val="000000"/>
                <w:kern w:val="0"/>
                <w:u w:val="single"/>
                <w:lang w:eastAsia="en-US" w:bidi="ar-SA"/>
              </w:rPr>
              <w:t>(</w:t>
            </w:r>
            <w:proofErr w:type="gramEnd"/>
            <w:r w:rsidRPr="00D73C65">
              <w:rPr>
                <w:rFonts w:eastAsiaTheme="minorHAnsi" w:cs="Times New Roman"/>
                <w:color w:val="000000"/>
                <w:kern w:val="0"/>
                <w:u w:val="single"/>
                <w:lang w:eastAsia="en-US" w:bidi="ar-SA"/>
              </w:rPr>
              <w:t>BET</w:t>
            </w:r>
            <w:r>
              <w:rPr>
                <w:rFonts w:eastAsiaTheme="minorHAnsi" w:cs="Times New Roman"/>
                <w:color w:val="000000"/>
                <w:kern w:val="0"/>
                <w:u w:val="single"/>
                <w:lang w:eastAsia="en-US" w:bidi="ar-SA"/>
              </w:rPr>
              <w:t>).</w:t>
            </w:r>
            <w:r>
              <w:t xml:space="preserve"> </w:t>
            </w:r>
            <w:r>
              <w:rPr>
                <w:rFonts w:eastAsiaTheme="minorHAnsi" w:cs="Times New Roman"/>
                <w:color w:val="000000"/>
                <w:kern w:val="0"/>
                <w:u w:val="single"/>
                <w:lang w:eastAsia="en-US" w:bidi="ar-SA"/>
              </w:rPr>
              <w:t xml:space="preserve">  </w:t>
            </w:r>
            <w:r>
              <w:rPr>
                <w:rFonts w:eastAsiaTheme="minorHAnsi" w:cs="Times New Roman"/>
                <w:i/>
                <w:iCs/>
                <w:color w:val="000000"/>
                <w:kern w:val="0"/>
                <w:lang w:eastAsia="en-US" w:bidi="ar-SA"/>
              </w:rPr>
              <w:t xml:space="preserve"> </w:t>
            </w:r>
            <w:proofErr w:type="gramStart"/>
            <w:r>
              <w:rPr>
                <w:rFonts w:eastAsiaTheme="minorHAnsi" w:cs="Times New Roman"/>
                <w:i/>
                <w:iCs/>
                <w:color w:val="000000"/>
                <w:kern w:val="0"/>
                <w:lang w:eastAsia="en-US" w:bidi="ar-SA"/>
              </w:rPr>
              <w:t>n</w:t>
            </w:r>
            <w:r>
              <w:rPr>
                <w:rFonts w:eastAsiaTheme="minorHAnsi" w:cs="Times New Roman"/>
                <w:color w:val="000000"/>
                <w:kern w:val="0"/>
                <w:vertAlign w:val="subscript"/>
                <w:lang w:eastAsia="en-US" w:bidi="ar-SA"/>
              </w:rPr>
              <w:t>m</w:t>
            </w:r>
            <w:r>
              <w:rPr>
                <w:rFonts w:eastAsiaTheme="minorHAnsi" w:cs="Times New Roman"/>
                <w:color w:val="000000"/>
                <w:kern w:val="0"/>
                <w:lang w:eastAsia="en-US" w:bidi="ar-SA"/>
              </w:rPr>
              <w:t>(</w:t>
            </w:r>
            <w:proofErr w:type="gramEnd"/>
            <w:r w:rsidR="007665F2">
              <w:rPr>
                <w:rFonts w:eastAsiaTheme="minorHAnsi" w:cs="Times New Roman"/>
                <w:color w:val="000000"/>
                <w:kern w:val="0"/>
                <w:lang w:eastAsia="en-US" w:bidi="ar-SA"/>
              </w:rPr>
              <w:sym w:font="Symbol" w:char="F063"/>
            </w:r>
            <w:r>
              <w:rPr>
                <w:rFonts w:eastAsiaTheme="minorHAnsi" w:cs="Times New Roman"/>
                <w:color w:val="000000"/>
                <w:kern w:val="0"/>
                <w:lang w:eastAsia="en-US" w:bidi="ar-SA"/>
              </w:rPr>
              <w:t>)</w:t>
            </w:r>
          </w:p>
        </w:tc>
        <w:tc>
          <w:tcPr>
            <w:tcW w:w="897" w:type="dxa"/>
          </w:tcPr>
          <w:p w14:paraId="1C5C100F" w14:textId="77777777" w:rsidR="00C87911" w:rsidRPr="00BC2316" w:rsidRDefault="00C87911" w:rsidP="00543A53">
            <w:pPr>
              <w:pStyle w:val="NoSpacing"/>
              <w:rPr>
                <w:rFonts w:eastAsiaTheme="minorHAnsi" w:cs="Times New Roman"/>
                <w:color w:val="000000"/>
                <w:kern w:val="0"/>
                <w:lang w:eastAsia="en-US" w:bidi="ar-SA"/>
              </w:rPr>
            </w:pPr>
            <w:r>
              <w:rPr>
                <w:rFonts w:eastAsiaTheme="minorHAnsi" w:cs="Times New Roman"/>
                <w:i/>
                <w:iCs/>
                <w:color w:val="000000"/>
                <w:kern w:val="0"/>
                <w:lang w:eastAsia="en-US" w:bidi="ar-SA"/>
              </w:rPr>
              <w:t>C</w:t>
            </w:r>
          </w:p>
        </w:tc>
        <w:tc>
          <w:tcPr>
            <w:tcW w:w="1157" w:type="dxa"/>
          </w:tcPr>
          <w:p w14:paraId="12E0C27A" w14:textId="77777777" w:rsidR="00D566BC" w:rsidRPr="00D566BC" w:rsidRDefault="00D566BC" w:rsidP="00543A53">
            <w:pPr>
              <w:pStyle w:val="NoSpacing"/>
              <w:rPr>
                <w:rFonts w:eastAsiaTheme="minorHAnsi" w:cs="Times New Roman"/>
                <w:b/>
                <w:bCs/>
                <w:color w:val="000000"/>
                <w:kern w:val="0"/>
                <w:lang w:eastAsia="en-US" w:bidi="ar-SA"/>
              </w:rPr>
            </w:pPr>
            <w:r>
              <w:rPr>
                <w:rFonts w:eastAsiaTheme="minorHAnsi" w:cs="Times New Roman"/>
                <w:color w:val="000000"/>
                <w:kern w:val="0"/>
                <w:lang w:eastAsia="en-US" w:bidi="ar-SA"/>
              </w:rPr>
              <w:t>σ of BET</w:t>
            </w:r>
          </w:p>
        </w:tc>
        <w:tc>
          <w:tcPr>
            <w:tcW w:w="1205" w:type="dxa"/>
          </w:tcPr>
          <w:p w14:paraId="5391908B" w14:textId="77777777" w:rsidR="00C87911" w:rsidRPr="009B1C5E" w:rsidRDefault="00D566BC" w:rsidP="00543A53">
            <w:pPr>
              <w:pStyle w:val="NoSpacing"/>
              <w:rPr>
                <w:rFonts w:eastAsiaTheme="minorHAnsi" w:cs="Times New Roman"/>
                <w:color w:val="000000"/>
                <w:kern w:val="0"/>
                <w:lang w:eastAsia="en-US" w:bidi="ar-SA"/>
              </w:rPr>
            </w:pPr>
            <w:r w:rsidRPr="003862FF">
              <w:rPr>
                <w:rFonts w:eastAsiaTheme="minorHAnsi" w:cs="Times New Roman"/>
                <w:i/>
                <w:iCs/>
                <w:color w:val="000000"/>
                <w:kern w:val="0"/>
                <w:lang w:eastAsia="en-US" w:bidi="ar-SA"/>
              </w:rPr>
              <w:t>P</w:t>
            </w:r>
            <w:r>
              <w:rPr>
                <w:rFonts w:eastAsiaTheme="minorHAnsi" w:cs="Times New Roman"/>
                <w:color w:val="000000"/>
                <w:kern w:val="0"/>
                <w:vertAlign w:val="subscript"/>
                <w:lang w:eastAsia="en-US" w:bidi="ar-SA"/>
              </w:rPr>
              <w:t>max</w:t>
            </w:r>
            <w:r w:rsidRPr="003862FF">
              <w:rPr>
                <w:rFonts w:eastAsiaTheme="minorHAnsi" w:cs="Times New Roman"/>
                <w:color w:val="000000"/>
                <w:kern w:val="0"/>
                <w:lang w:eastAsia="en-US" w:bidi="ar-SA"/>
              </w:rPr>
              <w:t>/</w:t>
            </w:r>
            <w:r w:rsidRPr="003862FF">
              <w:rPr>
                <w:rFonts w:eastAsiaTheme="minorHAnsi" w:cs="Times New Roman"/>
                <w:i/>
                <w:iCs/>
                <w:color w:val="000000"/>
                <w:kern w:val="0"/>
                <w:lang w:eastAsia="en-US" w:bidi="ar-SA"/>
              </w:rPr>
              <w:t>P</w:t>
            </w:r>
            <w:r w:rsidRPr="003862FF">
              <w:rPr>
                <w:rFonts w:eastAsiaTheme="minorHAnsi" w:cs="Times New Roman"/>
                <w:color w:val="000000"/>
                <w:kern w:val="0"/>
                <w:vertAlign w:val="subscript"/>
                <w:lang w:eastAsia="en-US" w:bidi="ar-SA"/>
              </w:rPr>
              <w:t>vap</w:t>
            </w:r>
          </w:p>
        </w:tc>
        <w:tc>
          <w:tcPr>
            <w:tcW w:w="1315" w:type="dxa"/>
          </w:tcPr>
          <w:p w14:paraId="1263169D" w14:textId="77777777" w:rsidR="00C87911" w:rsidRDefault="00C87911" w:rsidP="00543A53">
            <w:pPr>
              <w:pStyle w:val="NoSpacing"/>
              <w:rPr>
                <w:rFonts w:eastAsiaTheme="minorHAnsi" w:cs="Times New Roman"/>
                <w:color w:val="000000"/>
                <w:kern w:val="0"/>
                <w:lang w:eastAsia="en-US" w:bidi="ar-SA"/>
              </w:rPr>
            </w:pPr>
            <w:r>
              <w:rPr>
                <w:rFonts w:eastAsiaTheme="minorHAnsi" w:cs="Times New Roman"/>
                <w:color w:val="000000"/>
                <w:kern w:val="0"/>
                <w:lang w:eastAsia="en-US" w:bidi="ar-SA"/>
              </w:rPr>
              <w:t>σ of BET</w:t>
            </w:r>
          </w:p>
          <w:p w14:paraId="7E675102" w14:textId="77777777" w:rsidR="00C87911" w:rsidRPr="00951DA0" w:rsidRDefault="00C87911" w:rsidP="00543A53">
            <w:pPr>
              <w:pStyle w:val="NoSpacing"/>
              <w:rPr>
                <w:rFonts w:eastAsiaTheme="minorHAnsi" w:cs="Times New Roman"/>
                <w:color w:val="000000"/>
                <w:kern w:val="0"/>
                <w:lang w:eastAsia="en-US" w:bidi="ar-SA"/>
              </w:rPr>
            </w:pPr>
            <w:r>
              <w:rPr>
                <w:rFonts w:eastAsiaTheme="minorHAnsi" w:cs="Times New Roman"/>
                <w:color w:val="000000"/>
                <w:kern w:val="0"/>
                <w:lang w:eastAsia="en-US" w:bidi="ar-SA"/>
              </w:rPr>
              <w:t>% of range</w:t>
            </w:r>
          </w:p>
        </w:tc>
        <w:tc>
          <w:tcPr>
            <w:tcW w:w="1380" w:type="dxa"/>
          </w:tcPr>
          <w:p w14:paraId="5C9BC0F9" w14:textId="77777777" w:rsidR="00C354DE" w:rsidRPr="00C354DE" w:rsidRDefault="00C354DE" w:rsidP="00543A53">
            <w:pPr>
              <w:pStyle w:val="NoSpacing"/>
              <w:rPr>
                <w:rFonts w:eastAsiaTheme="minorHAnsi" w:cs="Times New Roman"/>
                <w:color w:val="000000"/>
                <w:kern w:val="0"/>
                <w:lang w:eastAsia="en-US" w:bidi="ar-SA"/>
              </w:rPr>
            </w:pPr>
            <w:proofErr w:type="spellStart"/>
            <w:r>
              <w:rPr>
                <w:rFonts w:eastAsiaTheme="minorHAnsi" w:cs="Times New Roman"/>
                <w:i/>
                <w:iCs/>
                <w:color w:val="000000"/>
                <w:kern w:val="0"/>
                <w:lang w:eastAsia="en-US" w:bidi="ar-SA"/>
              </w:rPr>
              <w:t>X</w:t>
            </w:r>
            <w:r>
              <w:rPr>
                <w:rFonts w:eastAsiaTheme="minorHAnsi" w:cs="Times New Roman"/>
                <w:color w:val="000000"/>
                <w:kern w:val="0"/>
                <w:vertAlign w:val="subscript"/>
                <w:lang w:eastAsia="en-US" w:bidi="ar-SA"/>
              </w:rPr>
              <w:t>high</w:t>
            </w:r>
            <w:proofErr w:type="spellEnd"/>
            <w:r>
              <w:rPr>
                <w:rFonts w:eastAsiaTheme="minorHAnsi" w:cs="Times New Roman"/>
                <w:color w:val="000000"/>
                <w:kern w:val="0"/>
                <w:lang w:eastAsia="en-US" w:bidi="ar-SA"/>
              </w:rPr>
              <w:t xml:space="preserve"> of new criterion</w:t>
            </w:r>
          </w:p>
        </w:tc>
      </w:tr>
      <w:tr w:rsidR="000508B8" w14:paraId="284C5C66" w14:textId="77777777" w:rsidTr="00C354DE">
        <w:tc>
          <w:tcPr>
            <w:tcW w:w="739" w:type="dxa"/>
          </w:tcPr>
          <w:p w14:paraId="60CE0055" w14:textId="77777777" w:rsidR="000508B8" w:rsidRPr="00275C3D" w:rsidRDefault="000508B8" w:rsidP="00275C3D">
            <w:pPr>
              <w:rPr>
                <w:lang w:eastAsia="en-US" w:bidi="ar-SA"/>
              </w:rPr>
            </w:pPr>
            <w:r w:rsidRPr="00275C3D">
              <w:rPr>
                <w:lang w:eastAsia="en-US" w:bidi="ar-SA"/>
              </w:rPr>
              <w:t>-4.0</w:t>
            </w:r>
          </w:p>
        </w:tc>
        <w:tc>
          <w:tcPr>
            <w:tcW w:w="1523" w:type="dxa"/>
          </w:tcPr>
          <w:p w14:paraId="59EFAA33" w14:textId="77777777" w:rsidR="000508B8" w:rsidRPr="00275C3D" w:rsidRDefault="000508B8" w:rsidP="00275C3D">
            <w:pPr>
              <w:rPr>
                <w:lang w:eastAsia="en-US" w:bidi="ar-SA"/>
              </w:rPr>
            </w:pPr>
            <w:r w:rsidRPr="00275C3D">
              <w:rPr>
                <w:lang w:eastAsia="en-US" w:bidi="ar-SA"/>
              </w:rPr>
              <w:t>35.41</w:t>
            </w:r>
          </w:p>
        </w:tc>
        <w:tc>
          <w:tcPr>
            <w:tcW w:w="1134" w:type="dxa"/>
          </w:tcPr>
          <w:p w14:paraId="5A6140E4" w14:textId="77777777" w:rsidR="000508B8" w:rsidRPr="00275C3D" w:rsidRDefault="000508B8" w:rsidP="00275C3D">
            <w:pPr>
              <w:rPr>
                <w:lang w:eastAsia="en-US" w:bidi="ar-SA"/>
              </w:rPr>
            </w:pPr>
            <w:r w:rsidRPr="00275C3D">
              <w:rPr>
                <w:lang w:eastAsia="en-US" w:bidi="ar-SA"/>
              </w:rPr>
              <w:t>2.910</w:t>
            </w:r>
          </w:p>
        </w:tc>
        <w:tc>
          <w:tcPr>
            <w:tcW w:w="897" w:type="dxa"/>
          </w:tcPr>
          <w:p w14:paraId="600346EA" w14:textId="77777777" w:rsidR="000508B8" w:rsidRPr="00275C3D" w:rsidRDefault="000508B8" w:rsidP="00275C3D">
            <w:pPr>
              <w:rPr>
                <w:lang w:eastAsia="en-US" w:bidi="ar-SA"/>
              </w:rPr>
            </w:pPr>
            <w:r w:rsidRPr="00275C3D">
              <w:rPr>
                <w:lang w:eastAsia="en-US" w:bidi="ar-SA"/>
              </w:rPr>
              <w:t>385.2</w:t>
            </w:r>
          </w:p>
        </w:tc>
        <w:tc>
          <w:tcPr>
            <w:tcW w:w="1157" w:type="dxa"/>
          </w:tcPr>
          <w:p w14:paraId="78C461E9" w14:textId="77777777" w:rsidR="000508B8" w:rsidRPr="00275C3D" w:rsidRDefault="000508B8" w:rsidP="00275C3D">
            <w:pPr>
              <w:rPr>
                <w:lang w:eastAsia="en-US" w:bidi="ar-SA"/>
              </w:rPr>
            </w:pPr>
            <w:r w:rsidRPr="00275C3D">
              <w:rPr>
                <w:lang w:eastAsia="en-US" w:bidi="ar-SA"/>
              </w:rPr>
              <w:t>0.036</w:t>
            </w:r>
          </w:p>
        </w:tc>
        <w:tc>
          <w:tcPr>
            <w:tcW w:w="1205" w:type="dxa"/>
          </w:tcPr>
          <w:p w14:paraId="20ED1EDC" w14:textId="77777777" w:rsidR="000508B8" w:rsidRPr="00275C3D" w:rsidRDefault="000508B8" w:rsidP="00275C3D">
            <w:pPr>
              <w:rPr>
                <w:lang w:eastAsia="en-US" w:bidi="ar-SA"/>
              </w:rPr>
            </w:pPr>
            <w:r w:rsidRPr="00275C3D">
              <w:rPr>
                <w:lang w:eastAsia="en-US" w:bidi="ar-SA"/>
              </w:rPr>
              <w:t>0.1315</w:t>
            </w:r>
          </w:p>
        </w:tc>
        <w:tc>
          <w:tcPr>
            <w:tcW w:w="1315" w:type="dxa"/>
          </w:tcPr>
          <w:p w14:paraId="43C59119" w14:textId="77777777" w:rsidR="000508B8" w:rsidRPr="00275C3D" w:rsidRDefault="000508B8" w:rsidP="00275C3D">
            <w:pPr>
              <w:rPr>
                <w:lang w:eastAsia="en-US" w:bidi="ar-SA"/>
              </w:rPr>
            </w:pPr>
            <w:r w:rsidRPr="00275C3D">
              <w:rPr>
                <w:lang w:eastAsia="en-US" w:bidi="ar-SA"/>
              </w:rPr>
              <w:t>1.1%</w:t>
            </w:r>
          </w:p>
        </w:tc>
        <w:tc>
          <w:tcPr>
            <w:tcW w:w="1380" w:type="dxa"/>
          </w:tcPr>
          <w:p w14:paraId="0D5C483F" w14:textId="77777777" w:rsidR="000508B8" w:rsidRPr="00275C3D" w:rsidRDefault="000508B8" w:rsidP="00275C3D">
            <w:pPr>
              <w:rPr>
                <w:lang w:eastAsia="en-US" w:bidi="ar-SA"/>
              </w:rPr>
            </w:pPr>
            <w:r w:rsidRPr="00275C3D">
              <w:rPr>
                <w:lang w:eastAsia="en-US" w:bidi="ar-SA"/>
              </w:rPr>
              <w:t>0.132</w:t>
            </w:r>
          </w:p>
        </w:tc>
      </w:tr>
      <w:tr w:rsidR="000508B8" w14:paraId="6532C3D2" w14:textId="77777777" w:rsidTr="00C354DE">
        <w:tc>
          <w:tcPr>
            <w:tcW w:w="739" w:type="dxa"/>
          </w:tcPr>
          <w:p w14:paraId="148181C9" w14:textId="77777777" w:rsidR="000508B8" w:rsidRPr="00275C3D" w:rsidRDefault="000508B8" w:rsidP="00275C3D">
            <w:pPr>
              <w:rPr>
                <w:lang w:eastAsia="en-US" w:bidi="ar-SA"/>
              </w:rPr>
            </w:pPr>
            <w:r w:rsidRPr="00275C3D">
              <w:rPr>
                <w:lang w:eastAsia="en-US" w:bidi="ar-SA"/>
              </w:rPr>
              <w:t>-3.9</w:t>
            </w:r>
          </w:p>
        </w:tc>
        <w:tc>
          <w:tcPr>
            <w:tcW w:w="1523" w:type="dxa"/>
          </w:tcPr>
          <w:p w14:paraId="475CAF7F" w14:textId="77777777" w:rsidR="000508B8" w:rsidRPr="00275C3D" w:rsidRDefault="000508B8" w:rsidP="00275C3D">
            <w:pPr>
              <w:rPr>
                <w:lang w:eastAsia="en-US" w:bidi="ar-SA"/>
              </w:rPr>
            </w:pPr>
            <w:r w:rsidRPr="00275C3D">
              <w:rPr>
                <w:lang w:eastAsia="en-US" w:bidi="ar-SA"/>
              </w:rPr>
              <w:t>32.04</w:t>
            </w:r>
          </w:p>
        </w:tc>
        <w:tc>
          <w:tcPr>
            <w:tcW w:w="1134" w:type="dxa"/>
          </w:tcPr>
          <w:p w14:paraId="49C56CCF" w14:textId="77777777" w:rsidR="000508B8" w:rsidRPr="00275C3D" w:rsidRDefault="000508B8" w:rsidP="00275C3D">
            <w:pPr>
              <w:rPr>
                <w:lang w:eastAsia="en-US" w:bidi="ar-SA"/>
              </w:rPr>
            </w:pPr>
            <w:r w:rsidRPr="00275C3D">
              <w:rPr>
                <w:lang w:eastAsia="en-US" w:bidi="ar-SA"/>
              </w:rPr>
              <w:t>2.823</w:t>
            </w:r>
          </w:p>
        </w:tc>
        <w:tc>
          <w:tcPr>
            <w:tcW w:w="897" w:type="dxa"/>
          </w:tcPr>
          <w:p w14:paraId="35EC1A97" w14:textId="77777777" w:rsidR="000508B8" w:rsidRPr="00275C3D" w:rsidRDefault="000508B8" w:rsidP="00275C3D">
            <w:pPr>
              <w:rPr>
                <w:lang w:eastAsia="en-US" w:bidi="ar-SA"/>
              </w:rPr>
            </w:pPr>
            <w:r w:rsidRPr="00275C3D">
              <w:rPr>
                <w:lang w:eastAsia="en-US" w:bidi="ar-SA"/>
              </w:rPr>
              <w:t>356.0</w:t>
            </w:r>
          </w:p>
        </w:tc>
        <w:tc>
          <w:tcPr>
            <w:tcW w:w="1157" w:type="dxa"/>
          </w:tcPr>
          <w:p w14:paraId="3DC4E115" w14:textId="77777777" w:rsidR="000508B8" w:rsidRPr="00275C3D" w:rsidRDefault="000508B8" w:rsidP="00275C3D">
            <w:pPr>
              <w:rPr>
                <w:lang w:eastAsia="en-US" w:bidi="ar-SA"/>
              </w:rPr>
            </w:pPr>
            <w:r w:rsidRPr="00275C3D">
              <w:rPr>
                <w:lang w:eastAsia="en-US" w:bidi="ar-SA"/>
              </w:rPr>
              <w:t>0.038</w:t>
            </w:r>
          </w:p>
        </w:tc>
        <w:tc>
          <w:tcPr>
            <w:tcW w:w="1205" w:type="dxa"/>
          </w:tcPr>
          <w:p w14:paraId="44FBAE62" w14:textId="77777777" w:rsidR="000508B8" w:rsidRPr="00275C3D" w:rsidRDefault="000508B8" w:rsidP="00275C3D">
            <w:pPr>
              <w:rPr>
                <w:lang w:eastAsia="en-US" w:bidi="ar-SA"/>
              </w:rPr>
            </w:pPr>
            <w:r w:rsidRPr="00275C3D">
              <w:rPr>
                <w:lang w:eastAsia="en-US" w:bidi="ar-SA"/>
              </w:rPr>
              <w:t>0.1325</w:t>
            </w:r>
          </w:p>
        </w:tc>
        <w:tc>
          <w:tcPr>
            <w:tcW w:w="1315" w:type="dxa"/>
          </w:tcPr>
          <w:p w14:paraId="065DB195" w14:textId="77777777" w:rsidR="000508B8" w:rsidRPr="00275C3D" w:rsidRDefault="000508B8" w:rsidP="00275C3D">
            <w:pPr>
              <w:rPr>
                <w:lang w:eastAsia="en-US" w:bidi="ar-SA"/>
              </w:rPr>
            </w:pPr>
            <w:r w:rsidRPr="00275C3D">
              <w:rPr>
                <w:lang w:eastAsia="en-US" w:bidi="ar-SA"/>
              </w:rPr>
              <w:t>1.2%</w:t>
            </w:r>
          </w:p>
        </w:tc>
        <w:tc>
          <w:tcPr>
            <w:tcW w:w="1380" w:type="dxa"/>
          </w:tcPr>
          <w:p w14:paraId="53725BA6" w14:textId="77777777" w:rsidR="000508B8" w:rsidRPr="00275C3D" w:rsidRDefault="000508B8" w:rsidP="00275C3D">
            <w:pPr>
              <w:rPr>
                <w:lang w:eastAsia="en-US" w:bidi="ar-SA"/>
              </w:rPr>
            </w:pPr>
            <w:r w:rsidRPr="00275C3D">
              <w:rPr>
                <w:lang w:eastAsia="en-US" w:bidi="ar-SA"/>
              </w:rPr>
              <w:t>0.132</w:t>
            </w:r>
          </w:p>
        </w:tc>
      </w:tr>
      <w:tr w:rsidR="000508B8" w14:paraId="532010E5" w14:textId="77777777" w:rsidTr="00C354DE">
        <w:tc>
          <w:tcPr>
            <w:tcW w:w="739" w:type="dxa"/>
          </w:tcPr>
          <w:p w14:paraId="678F4B4B" w14:textId="77777777" w:rsidR="000508B8" w:rsidRPr="00275C3D" w:rsidRDefault="000508B8" w:rsidP="00275C3D">
            <w:pPr>
              <w:rPr>
                <w:lang w:eastAsia="en-US" w:bidi="ar-SA"/>
              </w:rPr>
            </w:pPr>
            <w:r w:rsidRPr="00275C3D">
              <w:rPr>
                <w:lang w:eastAsia="en-US" w:bidi="ar-SA"/>
              </w:rPr>
              <w:t>-3.8</w:t>
            </w:r>
          </w:p>
        </w:tc>
        <w:tc>
          <w:tcPr>
            <w:tcW w:w="1523" w:type="dxa"/>
          </w:tcPr>
          <w:p w14:paraId="7F486DAF" w14:textId="77777777" w:rsidR="000508B8" w:rsidRPr="00275C3D" w:rsidRDefault="000508B8" w:rsidP="00275C3D">
            <w:pPr>
              <w:rPr>
                <w:lang w:eastAsia="en-US" w:bidi="ar-SA"/>
              </w:rPr>
            </w:pPr>
            <w:r w:rsidRPr="00275C3D">
              <w:rPr>
                <w:lang w:eastAsia="en-US" w:bidi="ar-SA"/>
              </w:rPr>
              <w:t>28.99</w:t>
            </w:r>
          </w:p>
        </w:tc>
        <w:tc>
          <w:tcPr>
            <w:tcW w:w="1134" w:type="dxa"/>
          </w:tcPr>
          <w:p w14:paraId="18A4D2EE" w14:textId="77777777" w:rsidR="000508B8" w:rsidRPr="00275C3D" w:rsidRDefault="000508B8" w:rsidP="00275C3D">
            <w:pPr>
              <w:rPr>
                <w:lang w:eastAsia="en-US" w:bidi="ar-SA"/>
              </w:rPr>
            </w:pPr>
            <w:r w:rsidRPr="00275C3D">
              <w:rPr>
                <w:lang w:eastAsia="en-US" w:bidi="ar-SA"/>
              </w:rPr>
              <w:t>2.737</w:t>
            </w:r>
          </w:p>
        </w:tc>
        <w:tc>
          <w:tcPr>
            <w:tcW w:w="897" w:type="dxa"/>
          </w:tcPr>
          <w:p w14:paraId="063CADC9" w14:textId="77777777" w:rsidR="000508B8" w:rsidRPr="00275C3D" w:rsidRDefault="000508B8" w:rsidP="00275C3D">
            <w:pPr>
              <w:rPr>
                <w:lang w:eastAsia="en-US" w:bidi="ar-SA"/>
              </w:rPr>
            </w:pPr>
            <w:r w:rsidRPr="00275C3D">
              <w:rPr>
                <w:lang w:eastAsia="en-US" w:bidi="ar-SA"/>
              </w:rPr>
              <w:t>328.2</w:t>
            </w:r>
          </w:p>
        </w:tc>
        <w:tc>
          <w:tcPr>
            <w:tcW w:w="1157" w:type="dxa"/>
          </w:tcPr>
          <w:p w14:paraId="60E3A9C5" w14:textId="77777777" w:rsidR="000508B8" w:rsidRPr="00275C3D" w:rsidRDefault="000508B8" w:rsidP="00275C3D">
            <w:pPr>
              <w:rPr>
                <w:lang w:eastAsia="en-US" w:bidi="ar-SA"/>
              </w:rPr>
            </w:pPr>
            <w:r w:rsidRPr="00275C3D">
              <w:rPr>
                <w:lang w:eastAsia="en-US" w:bidi="ar-SA"/>
              </w:rPr>
              <w:t>0.040</w:t>
            </w:r>
          </w:p>
        </w:tc>
        <w:tc>
          <w:tcPr>
            <w:tcW w:w="1205" w:type="dxa"/>
          </w:tcPr>
          <w:p w14:paraId="18F4DBC9" w14:textId="77777777" w:rsidR="000508B8" w:rsidRPr="00275C3D" w:rsidRDefault="000508B8" w:rsidP="00275C3D">
            <w:pPr>
              <w:rPr>
                <w:lang w:eastAsia="en-US" w:bidi="ar-SA"/>
              </w:rPr>
            </w:pPr>
            <w:r w:rsidRPr="00275C3D">
              <w:rPr>
                <w:lang w:eastAsia="en-US" w:bidi="ar-SA"/>
              </w:rPr>
              <w:t>0.1386</w:t>
            </w:r>
          </w:p>
        </w:tc>
        <w:tc>
          <w:tcPr>
            <w:tcW w:w="1315" w:type="dxa"/>
          </w:tcPr>
          <w:p w14:paraId="04A0731B" w14:textId="77777777" w:rsidR="000508B8" w:rsidRPr="00275C3D" w:rsidRDefault="000508B8" w:rsidP="00275C3D">
            <w:pPr>
              <w:rPr>
                <w:lang w:eastAsia="en-US" w:bidi="ar-SA"/>
              </w:rPr>
            </w:pPr>
            <w:r w:rsidRPr="00275C3D">
              <w:rPr>
                <w:lang w:eastAsia="en-US" w:bidi="ar-SA"/>
              </w:rPr>
              <w:t>1.3%</w:t>
            </w:r>
          </w:p>
        </w:tc>
        <w:tc>
          <w:tcPr>
            <w:tcW w:w="1380" w:type="dxa"/>
          </w:tcPr>
          <w:p w14:paraId="1A6C986B" w14:textId="77777777" w:rsidR="000508B8" w:rsidRPr="00275C3D" w:rsidRDefault="000508B8" w:rsidP="00275C3D">
            <w:pPr>
              <w:rPr>
                <w:lang w:eastAsia="en-US" w:bidi="ar-SA"/>
              </w:rPr>
            </w:pPr>
            <w:r w:rsidRPr="00275C3D">
              <w:rPr>
                <w:lang w:eastAsia="en-US" w:bidi="ar-SA"/>
              </w:rPr>
              <w:t>0.139</w:t>
            </w:r>
          </w:p>
        </w:tc>
      </w:tr>
      <w:tr w:rsidR="000508B8" w14:paraId="2F7FCD44" w14:textId="77777777" w:rsidTr="00C354DE">
        <w:tc>
          <w:tcPr>
            <w:tcW w:w="739" w:type="dxa"/>
          </w:tcPr>
          <w:p w14:paraId="1034FABC" w14:textId="77777777" w:rsidR="000508B8" w:rsidRPr="00275C3D" w:rsidRDefault="000508B8" w:rsidP="00275C3D">
            <w:pPr>
              <w:rPr>
                <w:lang w:eastAsia="en-US" w:bidi="ar-SA"/>
              </w:rPr>
            </w:pPr>
            <w:r w:rsidRPr="00275C3D">
              <w:rPr>
                <w:lang w:eastAsia="en-US" w:bidi="ar-SA"/>
              </w:rPr>
              <w:t>-3.7</w:t>
            </w:r>
          </w:p>
        </w:tc>
        <w:tc>
          <w:tcPr>
            <w:tcW w:w="1523" w:type="dxa"/>
          </w:tcPr>
          <w:p w14:paraId="5B83B418" w14:textId="77777777" w:rsidR="000508B8" w:rsidRPr="00275C3D" w:rsidRDefault="000508B8" w:rsidP="00275C3D">
            <w:pPr>
              <w:rPr>
                <w:lang w:eastAsia="en-US" w:bidi="ar-SA"/>
              </w:rPr>
            </w:pPr>
            <w:r w:rsidRPr="00275C3D">
              <w:rPr>
                <w:lang w:eastAsia="en-US" w:bidi="ar-SA"/>
              </w:rPr>
              <w:t>26.23</w:t>
            </w:r>
          </w:p>
        </w:tc>
        <w:tc>
          <w:tcPr>
            <w:tcW w:w="1134" w:type="dxa"/>
          </w:tcPr>
          <w:p w14:paraId="66A0E697" w14:textId="77777777" w:rsidR="000508B8" w:rsidRPr="00275C3D" w:rsidRDefault="000508B8" w:rsidP="00275C3D">
            <w:pPr>
              <w:rPr>
                <w:lang w:eastAsia="en-US" w:bidi="ar-SA"/>
              </w:rPr>
            </w:pPr>
            <w:r w:rsidRPr="00275C3D">
              <w:rPr>
                <w:lang w:eastAsia="en-US" w:bidi="ar-SA"/>
              </w:rPr>
              <w:t>2.651</w:t>
            </w:r>
          </w:p>
        </w:tc>
        <w:tc>
          <w:tcPr>
            <w:tcW w:w="897" w:type="dxa"/>
          </w:tcPr>
          <w:p w14:paraId="45BB21F2" w14:textId="77777777" w:rsidR="000508B8" w:rsidRPr="00275C3D" w:rsidRDefault="000508B8" w:rsidP="00275C3D">
            <w:pPr>
              <w:rPr>
                <w:lang w:eastAsia="en-US" w:bidi="ar-SA"/>
              </w:rPr>
            </w:pPr>
            <w:r w:rsidRPr="00275C3D">
              <w:rPr>
                <w:lang w:eastAsia="en-US" w:bidi="ar-SA"/>
              </w:rPr>
              <w:t>301.7</w:t>
            </w:r>
          </w:p>
        </w:tc>
        <w:tc>
          <w:tcPr>
            <w:tcW w:w="1157" w:type="dxa"/>
          </w:tcPr>
          <w:p w14:paraId="37121AC1" w14:textId="77777777" w:rsidR="000508B8" w:rsidRPr="00275C3D" w:rsidRDefault="000508B8" w:rsidP="00275C3D">
            <w:pPr>
              <w:rPr>
                <w:lang w:eastAsia="en-US" w:bidi="ar-SA"/>
              </w:rPr>
            </w:pPr>
            <w:r w:rsidRPr="00275C3D">
              <w:rPr>
                <w:lang w:eastAsia="en-US" w:bidi="ar-SA"/>
              </w:rPr>
              <w:t>0.042</w:t>
            </w:r>
          </w:p>
        </w:tc>
        <w:tc>
          <w:tcPr>
            <w:tcW w:w="1205" w:type="dxa"/>
          </w:tcPr>
          <w:p w14:paraId="4C992FC9" w14:textId="77777777" w:rsidR="000508B8" w:rsidRPr="00275C3D" w:rsidRDefault="000508B8" w:rsidP="00275C3D">
            <w:pPr>
              <w:rPr>
                <w:lang w:eastAsia="en-US" w:bidi="ar-SA"/>
              </w:rPr>
            </w:pPr>
            <w:r w:rsidRPr="00275C3D">
              <w:rPr>
                <w:lang w:eastAsia="en-US" w:bidi="ar-SA"/>
              </w:rPr>
              <w:t>0.1449</w:t>
            </w:r>
          </w:p>
        </w:tc>
        <w:tc>
          <w:tcPr>
            <w:tcW w:w="1315" w:type="dxa"/>
          </w:tcPr>
          <w:p w14:paraId="2BCB0B69" w14:textId="77777777" w:rsidR="000508B8" w:rsidRPr="00275C3D" w:rsidRDefault="000508B8" w:rsidP="00275C3D">
            <w:pPr>
              <w:rPr>
                <w:lang w:eastAsia="en-US" w:bidi="ar-SA"/>
              </w:rPr>
            </w:pPr>
            <w:r w:rsidRPr="00275C3D">
              <w:rPr>
                <w:lang w:eastAsia="en-US" w:bidi="ar-SA"/>
              </w:rPr>
              <w:t>1.4%</w:t>
            </w:r>
          </w:p>
        </w:tc>
        <w:tc>
          <w:tcPr>
            <w:tcW w:w="1380" w:type="dxa"/>
          </w:tcPr>
          <w:p w14:paraId="2781895F" w14:textId="77777777" w:rsidR="000508B8" w:rsidRPr="00275C3D" w:rsidRDefault="000508B8" w:rsidP="00275C3D">
            <w:pPr>
              <w:rPr>
                <w:lang w:eastAsia="en-US" w:bidi="ar-SA"/>
              </w:rPr>
            </w:pPr>
            <w:r w:rsidRPr="00275C3D">
              <w:rPr>
                <w:lang w:eastAsia="en-US" w:bidi="ar-SA"/>
              </w:rPr>
              <w:t>0.145</w:t>
            </w:r>
          </w:p>
        </w:tc>
      </w:tr>
      <w:tr w:rsidR="000508B8" w14:paraId="264CA1F5" w14:textId="77777777" w:rsidTr="00C354DE">
        <w:tc>
          <w:tcPr>
            <w:tcW w:w="739" w:type="dxa"/>
          </w:tcPr>
          <w:p w14:paraId="54F275AE" w14:textId="77777777" w:rsidR="000508B8" w:rsidRPr="00275C3D" w:rsidRDefault="000508B8" w:rsidP="00275C3D">
            <w:pPr>
              <w:rPr>
                <w:lang w:eastAsia="en-US" w:bidi="ar-SA"/>
              </w:rPr>
            </w:pPr>
            <w:r w:rsidRPr="00275C3D">
              <w:rPr>
                <w:lang w:eastAsia="en-US" w:bidi="ar-SA"/>
              </w:rPr>
              <w:t>-3.6</w:t>
            </w:r>
          </w:p>
        </w:tc>
        <w:tc>
          <w:tcPr>
            <w:tcW w:w="1523" w:type="dxa"/>
          </w:tcPr>
          <w:p w14:paraId="74997517" w14:textId="77777777" w:rsidR="000508B8" w:rsidRPr="00275C3D" w:rsidRDefault="000508B8" w:rsidP="00275C3D">
            <w:pPr>
              <w:rPr>
                <w:lang w:eastAsia="en-US" w:bidi="ar-SA"/>
              </w:rPr>
            </w:pPr>
            <w:r w:rsidRPr="00275C3D">
              <w:rPr>
                <w:lang w:eastAsia="en-US" w:bidi="ar-SA"/>
              </w:rPr>
              <w:t>23.73</w:t>
            </w:r>
          </w:p>
        </w:tc>
        <w:tc>
          <w:tcPr>
            <w:tcW w:w="1134" w:type="dxa"/>
          </w:tcPr>
          <w:p w14:paraId="3E2DEE3D" w14:textId="77777777" w:rsidR="000508B8" w:rsidRPr="00275C3D" w:rsidRDefault="000508B8" w:rsidP="00275C3D">
            <w:pPr>
              <w:rPr>
                <w:lang w:eastAsia="en-US" w:bidi="ar-SA"/>
              </w:rPr>
            </w:pPr>
            <w:r w:rsidRPr="00275C3D">
              <w:rPr>
                <w:lang w:eastAsia="en-US" w:bidi="ar-SA"/>
              </w:rPr>
              <w:t>2.566</w:t>
            </w:r>
          </w:p>
        </w:tc>
        <w:tc>
          <w:tcPr>
            <w:tcW w:w="897" w:type="dxa"/>
          </w:tcPr>
          <w:p w14:paraId="03196FCF" w14:textId="77777777" w:rsidR="000508B8" w:rsidRPr="00275C3D" w:rsidRDefault="000508B8" w:rsidP="00275C3D">
            <w:pPr>
              <w:rPr>
                <w:lang w:eastAsia="en-US" w:bidi="ar-SA"/>
              </w:rPr>
            </w:pPr>
            <w:r w:rsidRPr="00275C3D">
              <w:rPr>
                <w:lang w:eastAsia="en-US" w:bidi="ar-SA"/>
              </w:rPr>
              <w:t>276.7</w:t>
            </w:r>
          </w:p>
        </w:tc>
        <w:tc>
          <w:tcPr>
            <w:tcW w:w="1157" w:type="dxa"/>
          </w:tcPr>
          <w:p w14:paraId="01E2FCEB" w14:textId="77777777" w:rsidR="000508B8" w:rsidRPr="00275C3D" w:rsidRDefault="000508B8" w:rsidP="00275C3D">
            <w:pPr>
              <w:rPr>
                <w:lang w:eastAsia="en-US" w:bidi="ar-SA"/>
              </w:rPr>
            </w:pPr>
            <w:r w:rsidRPr="00275C3D">
              <w:rPr>
                <w:lang w:eastAsia="en-US" w:bidi="ar-SA"/>
              </w:rPr>
              <w:t>0.045</w:t>
            </w:r>
          </w:p>
        </w:tc>
        <w:tc>
          <w:tcPr>
            <w:tcW w:w="1205" w:type="dxa"/>
          </w:tcPr>
          <w:p w14:paraId="7C0D76FF" w14:textId="77777777" w:rsidR="000508B8" w:rsidRPr="00275C3D" w:rsidRDefault="000508B8" w:rsidP="00275C3D">
            <w:pPr>
              <w:rPr>
                <w:lang w:eastAsia="en-US" w:bidi="ar-SA"/>
              </w:rPr>
            </w:pPr>
            <w:r w:rsidRPr="00275C3D">
              <w:rPr>
                <w:lang w:eastAsia="en-US" w:bidi="ar-SA"/>
              </w:rPr>
              <w:t>0.1513</w:t>
            </w:r>
          </w:p>
        </w:tc>
        <w:tc>
          <w:tcPr>
            <w:tcW w:w="1315" w:type="dxa"/>
          </w:tcPr>
          <w:p w14:paraId="2B9B0B3F" w14:textId="77777777" w:rsidR="000508B8" w:rsidRPr="00275C3D" w:rsidRDefault="000508B8" w:rsidP="00275C3D">
            <w:pPr>
              <w:rPr>
                <w:lang w:eastAsia="en-US" w:bidi="ar-SA"/>
              </w:rPr>
            </w:pPr>
            <w:r w:rsidRPr="00275C3D">
              <w:rPr>
                <w:lang w:eastAsia="en-US" w:bidi="ar-SA"/>
              </w:rPr>
              <w:t>1.5%</w:t>
            </w:r>
          </w:p>
        </w:tc>
        <w:tc>
          <w:tcPr>
            <w:tcW w:w="1380" w:type="dxa"/>
          </w:tcPr>
          <w:p w14:paraId="760B3066" w14:textId="77777777" w:rsidR="000508B8" w:rsidRPr="00275C3D" w:rsidRDefault="000508B8" w:rsidP="00275C3D">
            <w:pPr>
              <w:rPr>
                <w:lang w:eastAsia="en-US" w:bidi="ar-SA"/>
              </w:rPr>
            </w:pPr>
            <w:r w:rsidRPr="00275C3D">
              <w:rPr>
                <w:lang w:eastAsia="en-US" w:bidi="ar-SA"/>
              </w:rPr>
              <w:t>0.151</w:t>
            </w:r>
          </w:p>
        </w:tc>
      </w:tr>
      <w:tr w:rsidR="000508B8" w14:paraId="78E4920C" w14:textId="77777777" w:rsidTr="00C354DE">
        <w:tc>
          <w:tcPr>
            <w:tcW w:w="739" w:type="dxa"/>
          </w:tcPr>
          <w:p w14:paraId="64EDF2DE" w14:textId="77777777" w:rsidR="000508B8" w:rsidRPr="00275C3D" w:rsidRDefault="000508B8" w:rsidP="00275C3D">
            <w:pPr>
              <w:rPr>
                <w:lang w:eastAsia="en-US" w:bidi="ar-SA"/>
              </w:rPr>
            </w:pPr>
            <w:r w:rsidRPr="00275C3D">
              <w:rPr>
                <w:lang w:eastAsia="en-US" w:bidi="ar-SA"/>
              </w:rPr>
              <w:t>-3.5</w:t>
            </w:r>
          </w:p>
        </w:tc>
        <w:tc>
          <w:tcPr>
            <w:tcW w:w="1523" w:type="dxa"/>
          </w:tcPr>
          <w:p w14:paraId="178B17B3" w14:textId="77777777" w:rsidR="000508B8" w:rsidRPr="00275C3D" w:rsidRDefault="000508B8" w:rsidP="00275C3D">
            <w:pPr>
              <w:rPr>
                <w:lang w:eastAsia="en-US" w:bidi="ar-SA"/>
              </w:rPr>
            </w:pPr>
            <w:r w:rsidRPr="00275C3D">
              <w:rPr>
                <w:lang w:eastAsia="en-US" w:bidi="ar-SA"/>
              </w:rPr>
              <w:t>21.48</w:t>
            </w:r>
          </w:p>
        </w:tc>
        <w:tc>
          <w:tcPr>
            <w:tcW w:w="1134" w:type="dxa"/>
          </w:tcPr>
          <w:p w14:paraId="4E18FAD4" w14:textId="77777777" w:rsidR="000508B8" w:rsidRPr="00275C3D" w:rsidRDefault="000508B8" w:rsidP="00275C3D">
            <w:pPr>
              <w:rPr>
                <w:lang w:eastAsia="en-US" w:bidi="ar-SA"/>
              </w:rPr>
            </w:pPr>
            <w:r w:rsidRPr="00275C3D">
              <w:rPr>
                <w:lang w:eastAsia="en-US" w:bidi="ar-SA"/>
              </w:rPr>
              <w:t>2.482</w:t>
            </w:r>
          </w:p>
        </w:tc>
        <w:tc>
          <w:tcPr>
            <w:tcW w:w="897" w:type="dxa"/>
          </w:tcPr>
          <w:p w14:paraId="2F5B77D3" w14:textId="77777777" w:rsidR="000508B8" w:rsidRPr="00275C3D" w:rsidRDefault="000508B8" w:rsidP="00275C3D">
            <w:pPr>
              <w:rPr>
                <w:lang w:eastAsia="en-US" w:bidi="ar-SA"/>
              </w:rPr>
            </w:pPr>
            <w:r w:rsidRPr="00275C3D">
              <w:rPr>
                <w:lang w:eastAsia="en-US" w:bidi="ar-SA"/>
              </w:rPr>
              <w:t>252.9</w:t>
            </w:r>
          </w:p>
        </w:tc>
        <w:tc>
          <w:tcPr>
            <w:tcW w:w="1157" w:type="dxa"/>
          </w:tcPr>
          <w:p w14:paraId="6310A734" w14:textId="77777777" w:rsidR="000508B8" w:rsidRPr="00275C3D" w:rsidRDefault="000508B8" w:rsidP="00275C3D">
            <w:pPr>
              <w:rPr>
                <w:lang w:eastAsia="en-US" w:bidi="ar-SA"/>
              </w:rPr>
            </w:pPr>
            <w:r w:rsidRPr="00275C3D">
              <w:rPr>
                <w:lang w:eastAsia="en-US" w:bidi="ar-SA"/>
              </w:rPr>
              <w:t>0.047</w:t>
            </w:r>
          </w:p>
        </w:tc>
        <w:tc>
          <w:tcPr>
            <w:tcW w:w="1205" w:type="dxa"/>
          </w:tcPr>
          <w:p w14:paraId="10EB4FA8" w14:textId="77777777" w:rsidR="000508B8" w:rsidRPr="00275C3D" w:rsidRDefault="000508B8" w:rsidP="00275C3D">
            <w:pPr>
              <w:rPr>
                <w:lang w:eastAsia="en-US" w:bidi="ar-SA"/>
              </w:rPr>
            </w:pPr>
            <w:r w:rsidRPr="00275C3D">
              <w:rPr>
                <w:lang w:eastAsia="en-US" w:bidi="ar-SA"/>
              </w:rPr>
              <w:t>0.1579</w:t>
            </w:r>
          </w:p>
        </w:tc>
        <w:tc>
          <w:tcPr>
            <w:tcW w:w="1315" w:type="dxa"/>
          </w:tcPr>
          <w:p w14:paraId="2E5BAABC" w14:textId="77777777" w:rsidR="000508B8" w:rsidRPr="00275C3D" w:rsidRDefault="000508B8" w:rsidP="00275C3D">
            <w:pPr>
              <w:rPr>
                <w:lang w:eastAsia="en-US" w:bidi="ar-SA"/>
              </w:rPr>
            </w:pPr>
            <w:r w:rsidRPr="00275C3D">
              <w:rPr>
                <w:lang w:eastAsia="en-US" w:bidi="ar-SA"/>
              </w:rPr>
              <w:t>1.6%</w:t>
            </w:r>
          </w:p>
        </w:tc>
        <w:tc>
          <w:tcPr>
            <w:tcW w:w="1380" w:type="dxa"/>
          </w:tcPr>
          <w:p w14:paraId="0DB1CBD0" w14:textId="77777777" w:rsidR="000508B8" w:rsidRPr="00275C3D" w:rsidRDefault="000508B8" w:rsidP="00275C3D">
            <w:pPr>
              <w:rPr>
                <w:lang w:eastAsia="en-US" w:bidi="ar-SA"/>
              </w:rPr>
            </w:pPr>
            <w:r w:rsidRPr="00275C3D">
              <w:rPr>
                <w:lang w:eastAsia="en-US" w:bidi="ar-SA"/>
              </w:rPr>
              <w:t>0.158</w:t>
            </w:r>
          </w:p>
        </w:tc>
      </w:tr>
      <w:tr w:rsidR="000508B8" w14:paraId="349C4C2E" w14:textId="77777777" w:rsidTr="00C354DE">
        <w:tc>
          <w:tcPr>
            <w:tcW w:w="739" w:type="dxa"/>
          </w:tcPr>
          <w:p w14:paraId="73C3CBFE" w14:textId="77777777" w:rsidR="000508B8" w:rsidRPr="00275C3D" w:rsidRDefault="000508B8" w:rsidP="00275C3D">
            <w:pPr>
              <w:rPr>
                <w:lang w:eastAsia="en-US" w:bidi="ar-SA"/>
              </w:rPr>
            </w:pPr>
            <w:r w:rsidRPr="00275C3D">
              <w:rPr>
                <w:lang w:eastAsia="en-US" w:bidi="ar-SA"/>
              </w:rPr>
              <w:t>-3.4</w:t>
            </w:r>
          </w:p>
        </w:tc>
        <w:tc>
          <w:tcPr>
            <w:tcW w:w="1523" w:type="dxa"/>
          </w:tcPr>
          <w:p w14:paraId="3975D65F" w14:textId="77777777" w:rsidR="000508B8" w:rsidRPr="00275C3D" w:rsidRDefault="000508B8" w:rsidP="00275C3D">
            <w:pPr>
              <w:rPr>
                <w:lang w:eastAsia="en-US" w:bidi="ar-SA"/>
              </w:rPr>
            </w:pPr>
            <w:r w:rsidRPr="00275C3D">
              <w:rPr>
                <w:lang w:eastAsia="en-US" w:bidi="ar-SA"/>
              </w:rPr>
              <w:t>19.43</w:t>
            </w:r>
          </w:p>
        </w:tc>
        <w:tc>
          <w:tcPr>
            <w:tcW w:w="1134" w:type="dxa"/>
          </w:tcPr>
          <w:p w14:paraId="78ADC12A" w14:textId="77777777" w:rsidR="000508B8" w:rsidRPr="00275C3D" w:rsidRDefault="000508B8" w:rsidP="00275C3D">
            <w:pPr>
              <w:rPr>
                <w:lang w:eastAsia="en-US" w:bidi="ar-SA"/>
              </w:rPr>
            </w:pPr>
            <w:r w:rsidRPr="00275C3D">
              <w:rPr>
                <w:lang w:eastAsia="en-US" w:bidi="ar-SA"/>
              </w:rPr>
              <w:t>2.398</w:t>
            </w:r>
          </w:p>
        </w:tc>
        <w:tc>
          <w:tcPr>
            <w:tcW w:w="897" w:type="dxa"/>
          </w:tcPr>
          <w:p w14:paraId="3CD8737A" w14:textId="77777777" w:rsidR="000508B8" w:rsidRPr="00275C3D" w:rsidRDefault="000508B8" w:rsidP="00275C3D">
            <w:pPr>
              <w:rPr>
                <w:lang w:eastAsia="en-US" w:bidi="ar-SA"/>
              </w:rPr>
            </w:pPr>
            <w:r w:rsidRPr="00275C3D">
              <w:rPr>
                <w:lang w:eastAsia="en-US" w:bidi="ar-SA"/>
              </w:rPr>
              <w:t>230.5</w:t>
            </w:r>
          </w:p>
        </w:tc>
        <w:tc>
          <w:tcPr>
            <w:tcW w:w="1157" w:type="dxa"/>
          </w:tcPr>
          <w:p w14:paraId="56D2D5AD" w14:textId="77777777" w:rsidR="000508B8" w:rsidRPr="00275C3D" w:rsidRDefault="000508B8" w:rsidP="00275C3D">
            <w:pPr>
              <w:rPr>
                <w:lang w:eastAsia="en-US" w:bidi="ar-SA"/>
              </w:rPr>
            </w:pPr>
            <w:r w:rsidRPr="00275C3D">
              <w:rPr>
                <w:lang w:eastAsia="en-US" w:bidi="ar-SA"/>
              </w:rPr>
              <w:t>0.049</w:t>
            </w:r>
          </w:p>
        </w:tc>
        <w:tc>
          <w:tcPr>
            <w:tcW w:w="1205" w:type="dxa"/>
          </w:tcPr>
          <w:p w14:paraId="715C3D30" w14:textId="77777777" w:rsidR="000508B8" w:rsidRPr="00275C3D" w:rsidRDefault="000508B8" w:rsidP="00275C3D">
            <w:pPr>
              <w:rPr>
                <w:lang w:eastAsia="en-US" w:bidi="ar-SA"/>
              </w:rPr>
            </w:pPr>
            <w:r w:rsidRPr="00275C3D">
              <w:rPr>
                <w:lang w:eastAsia="en-US" w:bidi="ar-SA"/>
              </w:rPr>
              <w:t>0.1646</w:t>
            </w:r>
          </w:p>
        </w:tc>
        <w:tc>
          <w:tcPr>
            <w:tcW w:w="1315" w:type="dxa"/>
          </w:tcPr>
          <w:p w14:paraId="7AA4577D" w14:textId="77777777" w:rsidR="000508B8" w:rsidRPr="00275C3D" w:rsidRDefault="000508B8" w:rsidP="00275C3D">
            <w:pPr>
              <w:rPr>
                <w:lang w:eastAsia="en-US" w:bidi="ar-SA"/>
              </w:rPr>
            </w:pPr>
            <w:r w:rsidRPr="00275C3D">
              <w:rPr>
                <w:lang w:eastAsia="en-US" w:bidi="ar-SA"/>
              </w:rPr>
              <w:t>1.7%</w:t>
            </w:r>
          </w:p>
        </w:tc>
        <w:tc>
          <w:tcPr>
            <w:tcW w:w="1380" w:type="dxa"/>
          </w:tcPr>
          <w:p w14:paraId="0DBD5CC3" w14:textId="77777777" w:rsidR="000508B8" w:rsidRPr="00275C3D" w:rsidRDefault="000508B8" w:rsidP="00275C3D">
            <w:pPr>
              <w:rPr>
                <w:lang w:eastAsia="en-US" w:bidi="ar-SA"/>
              </w:rPr>
            </w:pPr>
            <w:r w:rsidRPr="00275C3D">
              <w:rPr>
                <w:lang w:eastAsia="en-US" w:bidi="ar-SA"/>
              </w:rPr>
              <w:t>0.165</w:t>
            </w:r>
          </w:p>
        </w:tc>
      </w:tr>
      <w:tr w:rsidR="000508B8" w14:paraId="02A2159E" w14:textId="77777777" w:rsidTr="00C354DE">
        <w:tc>
          <w:tcPr>
            <w:tcW w:w="739" w:type="dxa"/>
          </w:tcPr>
          <w:p w14:paraId="6B23420C" w14:textId="77777777" w:rsidR="000508B8" w:rsidRPr="00275C3D" w:rsidRDefault="000508B8" w:rsidP="00275C3D">
            <w:pPr>
              <w:rPr>
                <w:lang w:eastAsia="en-US" w:bidi="ar-SA"/>
              </w:rPr>
            </w:pPr>
            <w:r w:rsidRPr="00275C3D">
              <w:rPr>
                <w:lang w:eastAsia="en-US" w:bidi="ar-SA"/>
              </w:rPr>
              <w:t>-3.3</w:t>
            </w:r>
          </w:p>
        </w:tc>
        <w:tc>
          <w:tcPr>
            <w:tcW w:w="1523" w:type="dxa"/>
          </w:tcPr>
          <w:p w14:paraId="42A9AF2F" w14:textId="77777777" w:rsidR="000508B8" w:rsidRPr="00275C3D" w:rsidRDefault="000508B8" w:rsidP="00275C3D">
            <w:pPr>
              <w:rPr>
                <w:lang w:eastAsia="en-US" w:bidi="ar-SA"/>
              </w:rPr>
            </w:pPr>
            <w:r w:rsidRPr="00275C3D">
              <w:rPr>
                <w:lang w:eastAsia="en-US" w:bidi="ar-SA"/>
              </w:rPr>
              <w:t>17.58</w:t>
            </w:r>
          </w:p>
        </w:tc>
        <w:tc>
          <w:tcPr>
            <w:tcW w:w="1134" w:type="dxa"/>
          </w:tcPr>
          <w:p w14:paraId="02B27C6A" w14:textId="77777777" w:rsidR="000508B8" w:rsidRPr="00275C3D" w:rsidRDefault="000508B8" w:rsidP="00275C3D">
            <w:pPr>
              <w:rPr>
                <w:lang w:eastAsia="en-US" w:bidi="ar-SA"/>
              </w:rPr>
            </w:pPr>
            <w:r w:rsidRPr="00275C3D">
              <w:rPr>
                <w:lang w:eastAsia="en-US" w:bidi="ar-SA"/>
              </w:rPr>
              <w:t>2.315</w:t>
            </w:r>
          </w:p>
        </w:tc>
        <w:tc>
          <w:tcPr>
            <w:tcW w:w="897" w:type="dxa"/>
          </w:tcPr>
          <w:p w14:paraId="145B95EC" w14:textId="77777777" w:rsidR="000508B8" w:rsidRPr="00275C3D" w:rsidRDefault="000508B8" w:rsidP="00275C3D">
            <w:pPr>
              <w:rPr>
                <w:lang w:eastAsia="en-US" w:bidi="ar-SA"/>
              </w:rPr>
            </w:pPr>
            <w:r w:rsidRPr="00275C3D">
              <w:rPr>
                <w:lang w:eastAsia="en-US" w:bidi="ar-SA"/>
              </w:rPr>
              <w:t>209.3</w:t>
            </w:r>
          </w:p>
        </w:tc>
        <w:tc>
          <w:tcPr>
            <w:tcW w:w="1157" w:type="dxa"/>
          </w:tcPr>
          <w:p w14:paraId="1893470C" w14:textId="77777777" w:rsidR="000508B8" w:rsidRPr="00275C3D" w:rsidRDefault="000508B8" w:rsidP="00275C3D">
            <w:pPr>
              <w:rPr>
                <w:lang w:eastAsia="en-US" w:bidi="ar-SA"/>
              </w:rPr>
            </w:pPr>
            <w:r w:rsidRPr="00275C3D">
              <w:rPr>
                <w:lang w:eastAsia="en-US" w:bidi="ar-SA"/>
              </w:rPr>
              <w:t>0.051</w:t>
            </w:r>
          </w:p>
        </w:tc>
        <w:tc>
          <w:tcPr>
            <w:tcW w:w="1205" w:type="dxa"/>
          </w:tcPr>
          <w:p w14:paraId="65194656" w14:textId="77777777" w:rsidR="000508B8" w:rsidRPr="00275C3D" w:rsidRDefault="000508B8" w:rsidP="00275C3D">
            <w:pPr>
              <w:rPr>
                <w:lang w:eastAsia="en-US" w:bidi="ar-SA"/>
              </w:rPr>
            </w:pPr>
            <w:r w:rsidRPr="00275C3D">
              <w:rPr>
                <w:lang w:eastAsia="en-US" w:bidi="ar-SA"/>
              </w:rPr>
              <w:t>0.1714</w:t>
            </w:r>
          </w:p>
        </w:tc>
        <w:tc>
          <w:tcPr>
            <w:tcW w:w="1315" w:type="dxa"/>
          </w:tcPr>
          <w:p w14:paraId="15AC4D2D" w14:textId="77777777" w:rsidR="000508B8" w:rsidRPr="00275C3D" w:rsidRDefault="000508B8" w:rsidP="00275C3D">
            <w:pPr>
              <w:rPr>
                <w:lang w:eastAsia="en-US" w:bidi="ar-SA"/>
              </w:rPr>
            </w:pPr>
            <w:r w:rsidRPr="00275C3D">
              <w:rPr>
                <w:lang w:eastAsia="en-US" w:bidi="ar-SA"/>
              </w:rPr>
              <w:t>1.9%</w:t>
            </w:r>
          </w:p>
        </w:tc>
        <w:tc>
          <w:tcPr>
            <w:tcW w:w="1380" w:type="dxa"/>
          </w:tcPr>
          <w:p w14:paraId="0E197B76" w14:textId="77777777" w:rsidR="000508B8" w:rsidRPr="00275C3D" w:rsidRDefault="000508B8" w:rsidP="00275C3D">
            <w:pPr>
              <w:rPr>
                <w:lang w:eastAsia="en-US" w:bidi="ar-SA"/>
              </w:rPr>
            </w:pPr>
            <w:r w:rsidRPr="00275C3D">
              <w:rPr>
                <w:lang w:eastAsia="en-US" w:bidi="ar-SA"/>
              </w:rPr>
              <w:t>0.171</w:t>
            </w:r>
          </w:p>
        </w:tc>
      </w:tr>
      <w:tr w:rsidR="000508B8" w14:paraId="2028032A" w14:textId="77777777" w:rsidTr="00C354DE">
        <w:tc>
          <w:tcPr>
            <w:tcW w:w="739" w:type="dxa"/>
          </w:tcPr>
          <w:p w14:paraId="1F240745" w14:textId="77777777" w:rsidR="000508B8" w:rsidRPr="00275C3D" w:rsidRDefault="000508B8" w:rsidP="00275C3D">
            <w:pPr>
              <w:rPr>
                <w:lang w:eastAsia="en-US" w:bidi="ar-SA"/>
              </w:rPr>
            </w:pPr>
            <w:r w:rsidRPr="00275C3D">
              <w:rPr>
                <w:lang w:eastAsia="en-US" w:bidi="ar-SA"/>
              </w:rPr>
              <w:t>-3.2</w:t>
            </w:r>
          </w:p>
        </w:tc>
        <w:tc>
          <w:tcPr>
            <w:tcW w:w="1523" w:type="dxa"/>
          </w:tcPr>
          <w:p w14:paraId="4437B6BD" w14:textId="77777777" w:rsidR="000508B8" w:rsidRPr="00275C3D" w:rsidRDefault="000508B8" w:rsidP="00275C3D">
            <w:pPr>
              <w:rPr>
                <w:lang w:eastAsia="en-US" w:bidi="ar-SA"/>
              </w:rPr>
            </w:pPr>
            <w:r w:rsidRPr="00275C3D">
              <w:rPr>
                <w:lang w:eastAsia="en-US" w:bidi="ar-SA"/>
              </w:rPr>
              <w:t>15.91</w:t>
            </w:r>
          </w:p>
        </w:tc>
        <w:tc>
          <w:tcPr>
            <w:tcW w:w="1134" w:type="dxa"/>
          </w:tcPr>
          <w:p w14:paraId="286A44E2" w14:textId="77777777" w:rsidR="000508B8" w:rsidRPr="00275C3D" w:rsidRDefault="000508B8" w:rsidP="00275C3D">
            <w:pPr>
              <w:rPr>
                <w:lang w:eastAsia="en-US" w:bidi="ar-SA"/>
              </w:rPr>
            </w:pPr>
            <w:r w:rsidRPr="00275C3D">
              <w:rPr>
                <w:lang w:eastAsia="en-US" w:bidi="ar-SA"/>
              </w:rPr>
              <w:t>2.233</w:t>
            </w:r>
          </w:p>
        </w:tc>
        <w:tc>
          <w:tcPr>
            <w:tcW w:w="897" w:type="dxa"/>
          </w:tcPr>
          <w:p w14:paraId="0FE14BE0" w14:textId="77777777" w:rsidR="000508B8" w:rsidRPr="00275C3D" w:rsidRDefault="000508B8" w:rsidP="00275C3D">
            <w:pPr>
              <w:rPr>
                <w:lang w:eastAsia="en-US" w:bidi="ar-SA"/>
              </w:rPr>
            </w:pPr>
            <w:r w:rsidRPr="00275C3D">
              <w:rPr>
                <w:lang w:eastAsia="en-US" w:bidi="ar-SA"/>
              </w:rPr>
              <w:t>189.5</w:t>
            </w:r>
          </w:p>
        </w:tc>
        <w:tc>
          <w:tcPr>
            <w:tcW w:w="1157" w:type="dxa"/>
          </w:tcPr>
          <w:p w14:paraId="51288593" w14:textId="77777777" w:rsidR="000508B8" w:rsidRPr="00275C3D" w:rsidRDefault="000508B8" w:rsidP="00275C3D">
            <w:pPr>
              <w:rPr>
                <w:lang w:eastAsia="en-US" w:bidi="ar-SA"/>
              </w:rPr>
            </w:pPr>
            <w:r w:rsidRPr="00275C3D">
              <w:rPr>
                <w:lang w:eastAsia="en-US" w:bidi="ar-SA"/>
              </w:rPr>
              <w:t>0.053</w:t>
            </w:r>
          </w:p>
        </w:tc>
        <w:tc>
          <w:tcPr>
            <w:tcW w:w="1205" w:type="dxa"/>
          </w:tcPr>
          <w:p w14:paraId="1A9930E5" w14:textId="77777777" w:rsidR="000508B8" w:rsidRPr="00275C3D" w:rsidRDefault="000508B8" w:rsidP="00275C3D">
            <w:pPr>
              <w:rPr>
                <w:lang w:eastAsia="en-US" w:bidi="ar-SA"/>
              </w:rPr>
            </w:pPr>
            <w:r w:rsidRPr="00275C3D">
              <w:rPr>
                <w:lang w:eastAsia="en-US" w:bidi="ar-SA"/>
              </w:rPr>
              <w:t>0.1783</w:t>
            </w:r>
          </w:p>
        </w:tc>
        <w:tc>
          <w:tcPr>
            <w:tcW w:w="1315" w:type="dxa"/>
          </w:tcPr>
          <w:p w14:paraId="01F58887" w14:textId="77777777" w:rsidR="000508B8" w:rsidRPr="00275C3D" w:rsidRDefault="000508B8" w:rsidP="00275C3D">
            <w:pPr>
              <w:rPr>
                <w:lang w:eastAsia="en-US" w:bidi="ar-SA"/>
              </w:rPr>
            </w:pPr>
            <w:r w:rsidRPr="00275C3D">
              <w:rPr>
                <w:lang w:eastAsia="en-US" w:bidi="ar-SA"/>
              </w:rPr>
              <w:t>2.0%</w:t>
            </w:r>
          </w:p>
        </w:tc>
        <w:tc>
          <w:tcPr>
            <w:tcW w:w="1380" w:type="dxa"/>
          </w:tcPr>
          <w:p w14:paraId="43835386" w14:textId="77777777" w:rsidR="000508B8" w:rsidRPr="00275C3D" w:rsidRDefault="000508B8" w:rsidP="00275C3D">
            <w:pPr>
              <w:rPr>
                <w:lang w:eastAsia="en-US" w:bidi="ar-SA"/>
              </w:rPr>
            </w:pPr>
            <w:r w:rsidRPr="00275C3D">
              <w:rPr>
                <w:lang w:eastAsia="en-US" w:bidi="ar-SA"/>
              </w:rPr>
              <w:t>0.178</w:t>
            </w:r>
          </w:p>
        </w:tc>
      </w:tr>
      <w:tr w:rsidR="000508B8" w14:paraId="41FBB213" w14:textId="77777777" w:rsidTr="00C354DE">
        <w:tc>
          <w:tcPr>
            <w:tcW w:w="739" w:type="dxa"/>
          </w:tcPr>
          <w:p w14:paraId="3A0E37AD" w14:textId="77777777" w:rsidR="000508B8" w:rsidRPr="00275C3D" w:rsidRDefault="000508B8" w:rsidP="00275C3D">
            <w:pPr>
              <w:rPr>
                <w:lang w:eastAsia="en-US" w:bidi="ar-SA"/>
              </w:rPr>
            </w:pPr>
            <w:r w:rsidRPr="00275C3D">
              <w:rPr>
                <w:lang w:eastAsia="en-US" w:bidi="ar-SA"/>
              </w:rPr>
              <w:t>-3.1</w:t>
            </w:r>
          </w:p>
        </w:tc>
        <w:tc>
          <w:tcPr>
            <w:tcW w:w="1523" w:type="dxa"/>
          </w:tcPr>
          <w:p w14:paraId="4E7AC462" w14:textId="77777777" w:rsidR="000508B8" w:rsidRPr="00275C3D" w:rsidRDefault="000508B8" w:rsidP="00275C3D">
            <w:pPr>
              <w:rPr>
                <w:lang w:eastAsia="en-US" w:bidi="ar-SA"/>
              </w:rPr>
            </w:pPr>
            <w:r w:rsidRPr="00275C3D">
              <w:rPr>
                <w:lang w:eastAsia="en-US" w:bidi="ar-SA"/>
              </w:rPr>
              <w:t>14.40</w:t>
            </w:r>
          </w:p>
        </w:tc>
        <w:tc>
          <w:tcPr>
            <w:tcW w:w="1134" w:type="dxa"/>
          </w:tcPr>
          <w:p w14:paraId="56CCC9F4" w14:textId="77777777" w:rsidR="000508B8" w:rsidRPr="00275C3D" w:rsidRDefault="000508B8" w:rsidP="00275C3D">
            <w:pPr>
              <w:rPr>
                <w:lang w:eastAsia="en-US" w:bidi="ar-SA"/>
              </w:rPr>
            </w:pPr>
            <w:r w:rsidRPr="00275C3D">
              <w:rPr>
                <w:lang w:eastAsia="en-US" w:bidi="ar-SA"/>
              </w:rPr>
              <w:t>2.152</w:t>
            </w:r>
          </w:p>
        </w:tc>
        <w:tc>
          <w:tcPr>
            <w:tcW w:w="897" w:type="dxa"/>
          </w:tcPr>
          <w:p w14:paraId="096C7421" w14:textId="77777777" w:rsidR="000508B8" w:rsidRPr="00275C3D" w:rsidRDefault="000508B8" w:rsidP="00275C3D">
            <w:pPr>
              <w:rPr>
                <w:lang w:eastAsia="en-US" w:bidi="ar-SA"/>
              </w:rPr>
            </w:pPr>
            <w:r w:rsidRPr="00275C3D">
              <w:rPr>
                <w:lang w:eastAsia="en-US" w:bidi="ar-SA"/>
              </w:rPr>
              <w:t>170.9</w:t>
            </w:r>
          </w:p>
        </w:tc>
        <w:tc>
          <w:tcPr>
            <w:tcW w:w="1157" w:type="dxa"/>
          </w:tcPr>
          <w:p w14:paraId="20AFCB57" w14:textId="77777777" w:rsidR="000508B8" w:rsidRPr="00275C3D" w:rsidRDefault="000508B8" w:rsidP="00275C3D">
            <w:pPr>
              <w:rPr>
                <w:lang w:eastAsia="en-US" w:bidi="ar-SA"/>
              </w:rPr>
            </w:pPr>
            <w:r w:rsidRPr="00275C3D">
              <w:rPr>
                <w:lang w:eastAsia="en-US" w:bidi="ar-SA"/>
              </w:rPr>
              <w:t>0.055</w:t>
            </w:r>
          </w:p>
        </w:tc>
        <w:tc>
          <w:tcPr>
            <w:tcW w:w="1205" w:type="dxa"/>
          </w:tcPr>
          <w:p w14:paraId="131888AC" w14:textId="77777777" w:rsidR="000508B8" w:rsidRPr="00275C3D" w:rsidRDefault="000508B8" w:rsidP="00275C3D">
            <w:pPr>
              <w:rPr>
                <w:lang w:eastAsia="en-US" w:bidi="ar-SA"/>
              </w:rPr>
            </w:pPr>
            <w:r w:rsidRPr="00275C3D">
              <w:rPr>
                <w:lang w:eastAsia="en-US" w:bidi="ar-SA"/>
              </w:rPr>
              <w:t>0.1853</w:t>
            </w:r>
          </w:p>
        </w:tc>
        <w:tc>
          <w:tcPr>
            <w:tcW w:w="1315" w:type="dxa"/>
          </w:tcPr>
          <w:p w14:paraId="2F3FED93" w14:textId="77777777" w:rsidR="000508B8" w:rsidRPr="00275C3D" w:rsidRDefault="000508B8" w:rsidP="00275C3D">
            <w:pPr>
              <w:rPr>
                <w:lang w:eastAsia="en-US" w:bidi="ar-SA"/>
              </w:rPr>
            </w:pPr>
            <w:r w:rsidRPr="00275C3D">
              <w:rPr>
                <w:lang w:eastAsia="en-US" w:bidi="ar-SA"/>
              </w:rPr>
              <w:t>2.1%</w:t>
            </w:r>
          </w:p>
        </w:tc>
        <w:tc>
          <w:tcPr>
            <w:tcW w:w="1380" w:type="dxa"/>
          </w:tcPr>
          <w:p w14:paraId="4289F7FE" w14:textId="77777777" w:rsidR="000508B8" w:rsidRPr="00275C3D" w:rsidRDefault="000508B8" w:rsidP="00275C3D">
            <w:pPr>
              <w:rPr>
                <w:lang w:eastAsia="en-US" w:bidi="ar-SA"/>
              </w:rPr>
            </w:pPr>
            <w:r w:rsidRPr="00275C3D">
              <w:rPr>
                <w:lang w:eastAsia="en-US" w:bidi="ar-SA"/>
              </w:rPr>
              <w:t>0.185</w:t>
            </w:r>
          </w:p>
        </w:tc>
      </w:tr>
      <w:tr w:rsidR="000508B8" w14:paraId="64B8DA64" w14:textId="77777777" w:rsidTr="00C354DE">
        <w:tc>
          <w:tcPr>
            <w:tcW w:w="739" w:type="dxa"/>
          </w:tcPr>
          <w:p w14:paraId="6FEB64D5" w14:textId="77777777" w:rsidR="000508B8" w:rsidRPr="00275C3D" w:rsidRDefault="000508B8" w:rsidP="00275C3D">
            <w:pPr>
              <w:rPr>
                <w:lang w:eastAsia="en-US" w:bidi="ar-SA"/>
              </w:rPr>
            </w:pPr>
            <w:r w:rsidRPr="00275C3D">
              <w:rPr>
                <w:lang w:eastAsia="en-US" w:bidi="ar-SA"/>
              </w:rPr>
              <w:t>-3.0</w:t>
            </w:r>
          </w:p>
        </w:tc>
        <w:tc>
          <w:tcPr>
            <w:tcW w:w="1523" w:type="dxa"/>
          </w:tcPr>
          <w:p w14:paraId="348828BB" w14:textId="77777777" w:rsidR="000508B8" w:rsidRPr="00275C3D" w:rsidRDefault="000508B8" w:rsidP="00275C3D">
            <w:pPr>
              <w:rPr>
                <w:lang w:eastAsia="en-US" w:bidi="ar-SA"/>
              </w:rPr>
            </w:pPr>
            <w:r w:rsidRPr="00275C3D">
              <w:rPr>
                <w:lang w:eastAsia="en-US" w:bidi="ar-SA"/>
              </w:rPr>
              <w:t>13.03</w:t>
            </w:r>
          </w:p>
        </w:tc>
        <w:tc>
          <w:tcPr>
            <w:tcW w:w="1134" w:type="dxa"/>
          </w:tcPr>
          <w:p w14:paraId="668F5065" w14:textId="77777777" w:rsidR="000508B8" w:rsidRPr="00275C3D" w:rsidRDefault="000508B8" w:rsidP="00275C3D">
            <w:pPr>
              <w:rPr>
                <w:lang w:eastAsia="en-US" w:bidi="ar-SA"/>
              </w:rPr>
            </w:pPr>
            <w:r w:rsidRPr="00275C3D">
              <w:rPr>
                <w:lang w:eastAsia="en-US" w:bidi="ar-SA"/>
              </w:rPr>
              <w:t>2.072</w:t>
            </w:r>
          </w:p>
        </w:tc>
        <w:tc>
          <w:tcPr>
            <w:tcW w:w="897" w:type="dxa"/>
          </w:tcPr>
          <w:p w14:paraId="230C10F4" w14:textId="77777777" w:rsidR="000508B8" w:rsidRPr="00275C3D" w:rsidRDefault="000508B8" w:rsidP="00275C3D">
            <w:pPr>
              <w:rPr>
                <w:lang w:eastAsia="en-US" w:bidi="ar-SA"/>
              </w:rPr>
            </w:pPr>
            <w:r w:rsidRPr="00275C3D">
              <w:rPr>
                <w:lang w:eastAsia="en-US" w:bidi="ar-SA"/>
              </w:rPr>
              <w:t>153.4</w:t>
            </w:r>
          </w:p>
        </w:tc>
        <w:tc>
          <w:tcPr>
            <w:tcW w:w="1157" w:type="dxa"/>
          </w:tcPr>
          <w:p w14:paraId="20F32773" w14:textId="77777777" w:rsidR="000508B8" w:rsidRPr="00275C3D" w:rsidRDefault="000508B8" w:rsidP="00275C3D">
            <w:pPr>
              <w:rPr>
                <w:lang w:eastAsia="en-US" w:bidi="ar-SA"/>
              </w:rPr>
            </w:pPr>
            <w:r w:rsidRPr="00275C3D">
              <w:rPr>
                <w:lang w:eastAsia="en-US" w:bidi="ar-SA"/>
              </w:rPr>
              <w:t>0.056</w:t>
            </w:r>
          </w:p>
        </w:tc>
        <w:tc>
          <w:tcPr>
            <w:tcW w:w="1205" w:type="dxa"/>
          </w:tcPr>
          <w:p w14:paraId="2B3D3335" w14:textId="77777777" w:rsidR="000508B8" w:rsidRPr="00275C3D" w:rsidRDefault="000508B8" w:rsidP="00275C3D">
            <w:pPr>
              <w:rPr>
                <w:lang w:eastAsia="en-US" w:bidi="ar-SA"/>
              </w:rPr>
            </w:pPr>
            <w:r w:rsidRPr="00275C3D">
              <w:rPr>
                <w:lang w:eastAsia="en-US" w:bidi="ar-SA"/>
              </w:rPr>
              <w:t>0.2003</w:t>
            </w:r>
          </w:p>
        </w:tc>
        <w:tc>
          <w:tcPr>
            <w:tcW w:w="1315" w:type="dxa"/>
          </w:tcPr>
          <w:p w14:paraId="65E23638" w14:textId="77777777" w:rsidR="000508B8" w:rsidRPr="00275C3D" w:rsidRDefault="000508B8" w:rsidP="00275C3D">
            <w:pPr>
              <w:rPr>
                <w:lang w:eastAsia="en-US" w:bidi="ar-SA"/>
              </w:rPr>
            </w:pPr>
            <w:r w:rsidRPr="00275C3D">
              <w:rPr>
                <w:lang w:eastAsia="en-US" w:bidi="ar-SA"/>
              </w:rPr>
              <w:t>2.2%</w:t>
            </w:r>
          </w:p>
        </w:tc>
        <w:tc>
          <w:tcPr>
            <w:tcW w:w="1380" w:type="dxa"/>
          </w:tcPr>
          <w:p w14:paraId="3246E480" w14:textId="77777777" w:rsidR="000508B8" w:rsidRPr="00275C3D" w:rsidRDefault="000508B8" w:rsidP="00275C3D">
            <w:pPr>
              <w:rPr>
                <w:lang w:eastAsia="en-US" w:bidi="ar-SA"/>
              </w:rPr>
            </w:pPr>
            <w:r w:rsidRPr="00275C3D">
              <w:rPr>
                <w:lang w:eastAsia="en-US" w:bidi="ar-SA"/>
              </w:rPr>
              <w:t>0.200</w:t>
            </w:r>
          </w:p>
        </w:tc>
      </w:tr>
      <w:tr w:rsidR="000508B8" w14:paraId="12DFE5CD" w14:textId="77777777" w:rsidTr="00C354DE">
        <w:tc>
          <w:tcPr>
            <w:tcW w:w="739" w:type="dxa"/>
          </w:tcPr>
          <w:p w14:paraId="229F0AA4" w14:textId="77777777" w:rsidR="000508B8" w:rsidRPr="00275C3D" w:rsidRDefault="000508B8" w:rsidP="00275C3D">
            <w:pPr>
              <w:rPr>
                <w:lang w:eastAsia="en-US" w:bidi="ar-SA"/>
              </w:rPr>
            </w:pPr>
            <w:r w:rsidRPr="00275C3D">
              <w:rPr>
                <w:lang w:eastAsia="en-US" w:bidi="ar-SA"/>
              </w:rPr>
              <w:t>-2.9</w:t>
            </w:r>
          </w:p>
        </w:tc>
        <w:tc>
          <w:tcPr>
            <w:tcW w:w="1523" w:type="dxa"/>
          </w:tcPr>
          <w:p w14:paraId="4A680706" w14:textId="77777777" w:rsidR="000508B8" w:rsidRPr="00275C3D" w:rsidRDefault="000508B8" w:rsidP="00275C3D">
            <w:pPr>
              <w:rPr>
                <w:lang w:eastAsia="en-US" w:bidi="ar-SA"/>
              </w:rPr>
            </w:pPr>
            <w:r w:rsidRPr="00275C3D">
              <w:rPr>
                <w:lang w:eastAsia="en-US" w:bidi="ar-SA"/>
              </w:rPr>
              <w:t>11.79</w:t>
            </w:r>
          </w:p>
        </w:tc>
        <w:tc>
          <w:tcPr>
            <w:tcW w:w="1134" w:type="dxa"/>
          </w:tcPr>
          <w:p w14:paraId="13E25C08" w14:textId="77777777" w:rsidR="000508B8" w:rsidRPr="00275C3D" w:rsidRDefault="000508B8" w:rsidP="00275C3D">
            <w:pPr>
              <w:rPr>
                <w:lang w:eastAsia="en-US" w:bidi="ar-SA"/>
              </w:rPr>
            </w:pPr>
            <w:r w:rsidRPr="00275C3D">
              <w:rPr>
                <w:lang w:eastAsia="en-US" w:bidi="ar-SA"/>
              </w:rPr>
              <w:t>1.992</w:t>
            </w:r>
          </w:p>
        </w:tc>
        <w:tc>
          <w:tcPr>
            <w:tcW w:w="897" w:type="dxa"/>
          </w:tcPr>
          <w:p w14:paraId="6DF15321" w14:textId="77777777" w:rsidR="000508B8" w:rsidRPr="00275C3D" w:rsidRDefault="000508B8" w:rsidP="00275C3D">
            <w:pPr>
              <w:rPr>
                <w:lang w:eastAsia="en-US" w:bidi="ar-SA"/>
              </w:rPr>
            </w:pPr>
            <w:r w:rsidRPr="00275C3D">
              <w:rPr>
                <w:lang w:eastAsia="en-US" w:bidi="ar-SA"/>
              </w:rPr>
              <w:t>137.2</w:t>
            </w:r>
          </w:p>
        </w:tc>
        <w:tc>
          <w:tcPr>
            <w:tcW w:w="1157" w:type="dxa"/>
          </w:tcPr>
          <w:p w14:paraId="5E0F09FB" w14:textId="77777777" w:rsidR="000508B8" w:rsidRPr="00275C3D" w:rsidRDefault="000508B8" w:rsidP="00275C3D">
            <w:pPr>
              <w:rPr>
                <w:lang w:eastAsia="en-US" w:bidi="ar-SA"/>
              </w:rPr>
            </w:pPr>
            <w:r w:rsidRPr="00275C3D">
              <w:rPr>
                <w:lang w:eastAsia="en-US" w:bidi="ar-SA"/>
              </w:rPr>
              <w:t>0.057</w:t>
            </w:r>
          </w:p>
        </w:tc>
        <w:tc>
          <w:tcPr>
            <w:tcW w:w="1205" w:type="dxa"/>
          </w:tcPr>
          <w:p w14:paraId="01FEB8BB" w14:textId="77777777" w:rsidR="000508B8" w:rsidRPr="00275C3D" w:rsidRDefault="000508B8" w:rsidP="00275C3D">
            <w:pPr>
              <w:rPr>
                <w:lang w:eastAsia="en-US" w:bidi="ar-SA"/>
              </w:rPr>
            </w:pPr>
            <w:r w:rsidRPr="00275C3D">
              <w:rPr>
                <w:lang w:eastAsia="en-US" w:bidi="ar-SA"/>
              </w:rPr>
              <w:t>0.2079</w:t>
            </w:r>
          </w:p>
        </w:tc>
        <w:tc>
          <w:tcPr>
            <w:tcW w:w="1315" w:type="dxa"/>
          </w:tcPr>
          <w:p w14:paraId="2401898B" w14:textId="77777777" w:rsidR="000508B8" w:rsidRPr="00275C3D" w:rsidRDefault="000508B8" w:rsidP="00275C3D">
            <w:pPr>
              <w:rPr>
                <w:lang w:eastAsia="en-US" w:bidi="ar-SA"/>
              </w:rPr>
            </w:pPr>
            <w:r w:rsidRPr="00275C3D">
              <w:rPr>
                <w:lang w:eastAsia="en-US" w:bidi="ar-SA"/>
              </w:rPr>
              <w:t>2.3%</w:t>
            </w:r>
          </w:p>
        </w:tc>
        <w:tc>
          <w:tcPr>
            <w:tcW w:w="1380" w:type="dxa"/>
          </w:tcPr>
          <w:p w14:paraId="6A066865" w14:textId="77777777" w:rsidR="000508B8" w:rsidRPr="00275C3D" w:rsidRDefault="000508B8" w:rsidP="00275C3D">
            <w:pPr>
              <w:rPr>
                <w:lang w:eastAsia="en-US" w:bidi="ar-SA"/>
              </w:rPr>
            </w:pPr>
            <w:r w:rsidRPr="00275C3D">
              <w:rPr>
                <w:lang w:eastAsia="en-US" w:bidi="ar-SA"/>
              </w:rPr>
              <w:t>0.208</w:t>
            </w:r>
          </w:p>
        </w:tc>
      </w:tr>
      <w:tr w:rsidR="000508B8" w14:paraId="1320AE2B" w14:textId="77777777" w:rsidTr="00C354DE">
        <w:tc>
          <w:tcPr>
            <w:tcW w:w="739" w:type="dxa"/>
          </w:tcPr>
          <w:p w14:paraId="327FADA9" w14:textId="77777777" w:rsidR="000508B8" w:rsidRPr="00275C3D" w:rsidRDefault="000508B8" w:rsidP="00275C3D">
            <w:pPr>
              <w:rPr>
                <w:lang w:eastAsia="en-US" w:bidi="ar-SA"/>
              </w:rPr>
            </w:pPr>
            <w:r w:rsidRPr="00275C3D">
              <w:rPr>
                <w:lang w:eastAsia="en-US" w:bidi="ar-SA"/>
              </w:rPr>
              <w:t>-2.8</w:t>
            </w:r>
          </w:p>
        </w:tc>
        <w:tc>
          <w:tcPr>
            <w:tcW w:w="1523" w:type="dxa"/>
          </w:tcPr>
          <w:p w14:paraId="6735EB1C" w14:textId="77777777" w:rsidR="000508B8" w:rsidRPr="00275C3D" w:rsidRDefault="000508B8" w:rsidP="00275C3D">
            <w:pPr>
              <w:rPr>
                <w:lang w:eastAsia="en-US" w:bidi="ar-SA"/>
              </w:rPr>
            </w:pPr>
            <w:r w:rsidRPr="00275C3D">
              <w:rPr>
                <w:lang w:eastAsia="en-US" w:bidi="ar-SA"/>
              </w:rPr>
              <w:t>10.66</w:t>
            </w:r>
          </w:p>
        </w:tc>
        <w:tc>
          <w:tcPr>
            <w:tcW w:w="1134" w:type="dxa"/>
          </w:tcPr>
          <w:p w14:paraId="1A896C4A" w14:textId="77777777" w:rsidR="000508B8" w:rsidRPr="00275C3D" w:rsidRDefault="000508B8" w:rsidP="00275C3D">
            <w:pPr>
              <w:rPr>
                <w:lang w:eastAsia="en-US" w:bidi="ar-SA"/>
              </w:rPr>
            </w:pPr>
            <w:r w:rsidRPr="00275C3D">
              <w:rPr>
                <w:lang w:eastAsia="en-US" w:bidi="ar-SA"/>
              </w:rPr>
              <w:t>1.914</w:t>
            </w:r>
          </w:p>
        </w:tc>
        <w:tc>
          <w:tcPr>
            <w:tcW w:w="897" w:type="dxa"/>
          </w:tcPr>
          <w:p w14:paraId="250C0191" w14:textId="77777777" w:rsidR="000508B8" w:rsidRPr="00275C3D" w:rsidRDefault="000508B8" w:rsidP="00275C3D">
            <w:pPr>
              <w:rPr>
                <w:lang w:eastAsia="en-US" w:bidi="ar-SA"/>
              </w:rPr>
            </w:pPr>
            <w:r w:rsidRPr="00275C3D">
              <w:rPr>
                <w:lang w:eastAsia="en-US" w:bidi="ar-SA"/>
              </w:rPr>
              <w:t>122.0</w:t>
            </w:r>
          </w:p>
        </w:tc>
        <w:tc>
          <w:tcPr>
            <w:tcW w:w="1157" w:type="dxa"/>
          </w:tcPr>
          <w:p w14:paraId="58A4D15F" w14:textId="77777777" w:rsidR="000508B8" w:rsidRPr="00275C3D" w:rsidRDefault="000508B8" w:rsidP="00275C3D">
            <w:pPr>
              <w:rPr>
                <w:lang w:eastAsia="en-US" w:bidi="ar-SA"/>
              </w:rPr>
            </w:pPr>
            <w:r w:rsidRPr="00275C3D">
              <w:rPr>
                <w:lang w:eastAsia="en-US" w:bidi="ar-SA"/>
              </w:rPr>
              <w:t>0.058</w:t>
            </w:r>
          </w:p>
        </w:tc>
        <w:tc>
          <w:tcPr>
            <w:tcW w:w="1205" w:type="dxa"/>
          </w:tcPr>
          <w:p w14:paraId="4600FE1B" w14:textId="77777777" w:rsidR="000508B8" w:rsidRPr="00275C3D" w:rsidRDefault="000508B8" w:rsidP="00275C3D">
            <w:pPr>
              <w:rPr>
                <w:lang w:eastAsia="en-US" w:bidi="ar-SA"/>
              </w:rPr>
            </w:pPr>
            <w:r w:rsidRPr="00275C3D">
              <w:rPr>
                <w:lang w:eastAsia="en-US" w:bidi="ar-SA"/>
              </w:rPr>
              <w:t>0.2155</w:t>
            </w:r>
          </w:p>
        </w:tc>
        <w:tc>
          <w:tcPr>
            <w:tcW w:w="1315" w:type="dxa"/>
          </w:tcPr>
          <w:p w14:paraId="2F212E6C" w14:textId="77777777" w:rsidR="000508B8" w:rsidRPr="00275C3D" w:rsidRDefault="000508B8" w:rsidP="00275C3D">
            <w:pPr>
              <w:rPr>
                <w:lang w:eastAsia="en-US" w:bidi="ar-SA"/>
              </w:rPr>
            </w:pPr>
            <w:r w:rsidRPr="00275C3D">
              <w:rPr>
                <w:lang w:eastAsia="en-US" w:bidi="ar-SA"/>
              </w:rPr>
              <w:t>2.5%</w:t>
            </w:r>
          </w:p>
        </w:tc>
        <w:tc>
          <w:tcPr>
            <w:tcW w:w="1380" w:type="dxa"/>
          </w:tcPr>
          <w:p w14:paraId="26FEAC31" w14:textId="77777777" w:rsidR="000508B8" w:rsidRPr="00275C3D" w:rsidRDefault="000508B8" w:rsidP="00275C3D">
            <w:pPr>
              <w:rPr>
                <w:lang w:eastAsia="en-US" w:bidi="ar-SA"/>
              </w:rPr>
            </w:pPr>
            <w:r w:rsidRPr="00275C3D">
              <w:rPr>
                <w:lang w:eastAsia="en-US" w:bidi="ar-SA"/>
              </w:rPr>
              <w:t>0.215</w:t>
            </w:r>
          </w:p>
        </w:tc>
      </w:tr>
      <w:tr w:rsidR="000508B8" w14:paraId="1F876549" w14:textId="77777777" w:rsidTr="00C354DE">
        <w:tc>
          <w:tcPr>
            <w:tcW w:w="739" w:type="dxa"/>
          </w:tcPr>
          <w:p w14:paraId="67C65D58" w14:textId="77777777" w:rsidR="000508B8" w:rsidRPr="00275C3D" w:rsidRDefault="000508B8" w:rsidP="00275C3D">
            <w:pPr>
              <w:rPr>
                <w:lang w:eastAsia="en-US" w:bidi="ar-SA"/>
              </w:rPr>
            </w:pPr>
            <w:r w:rsidRPr="00275C3D">
              <w:rPr>
                <w:lang w:eastAsia="en-US" w:bidi="ar-SA"/>
              </w:rPr>
              <w:t>-2.7</w:t>
            </w:r>
          </w:p>
        </w:tc>
        <w:tc>
          <w:tcPr>
            <w:tcW w:w="1523" w:type="dxa"/>
          </w:tcPr>
          <w:p w14:paraId="3FF7DBE0" w14:textId="77777777" w:rsidR="000508B8" w:rsidRPr="00275C3D" w:rsidRDefault="000508B8" w:rsidP="00275C3D">
            <w:pPr>
              <w:rPr>
                <w:lang w:eastAsia="en-US" w:bidi="ar-SA"/>
              </w:rPr>
            </w:pPr>
            <w:r w:rsidRPr="00275C3D">
              <w:rPr>
                <w:lang w:eastAsia="en-US" w:bidi="ar-SA"/>
              </w:rPr>
              <w:t>9.65</w:t>
            </w:r>
          </w:p>
        </w:tc>
        <w:tc>
          <w:tcPr>
            <w:tcW w:w="1134" w:type="dxa"/>
          </w:tcPr>
          <w:p w14:paraId="22BAF13A" w14:textId="77777777" w:rsidR="000508B8" w:rsidRPr="00275C3D" w:rsidRDefault="000508B8" w:rsidP="00275C3D">
            <w:pPr>
              <w:rPr>
                <w:lang w:eastAsia="en-US" w:bidi="ar-SA"/>
              </w:rPr>
            </w:pPr>
            <w:r w:rsidRPr="00275C3D">
              <w:rPr>
                <w:lang w:eastAsia="en-US" w:bidi="ar-SA"/>
              </w:rPr>
              <w:t>1.837</w:t>
            </w:r>
          </w:p>
        </w:tc>
        <w:tc>
          <w:tcPr>
            <w:tcW w:w="897" w:type="dxa"/>
          </w:tcPr>
          <w:p w14:paraId="78C4F12B" w14:textId="77777777" w:rsidR="000508B8" w:rsidRPr="00275C3D" w:rsidRDefault="000508B8" w:rsidP="00275C3D">
            <w:pPr>
              <w:rPr>
                <w:lang w:eastAsia="en-US" w:bidi="ar-SA"/>
              </w:rPr>
            </w:pPr>
            <w:r w:rsidRPr="00275C3D">
              <w:rPr>
                <w:lang w:eastAsia="en-US" w:bidi="ar-SA"/>
              </w:rPr>
              <w:t>108.0</w:t>
            </w:r>
          </w:p>
        </w:tc>
        <w:tc>
          <w:tcPr>
            <w:tcW w:w="1157" w:type="dxa"/>
          </w:tcPr>
          <w:p w14:paraId="3664FA2E" w14:textId="77777777" w:rsidR="000508B8" w:rsidRPr="00275C3D" w:rsidRDefault="000508B8" w:rsidP="00275C3D">
            <w:pPr>
              <w:rPr>
                <w:lang w:eastAsia="en-US" w:bidi="ar-SA"/>
              </w:rPr>
            </w:pPr>
            <w:r w:rsidRPr="00275C3D">
              <w:rPr>
                <w:lang w:eastAsia="en-US" w:bidi="ar-SA"/>
              </w:rPr>
              <w:t>0.059</w:t>
            </w:r>
          </w:p>
        </w:tc>
        <w:tc>
          <w:tcPr>
            <w:tcW w:w="1205" w:type="dxa"/>
          </w:tcPr>
          <w:p w14:paraId="5ADE7E6A" w14:textId="77777777" w:rsidR="000508B8" w:rsidRPr="00275C3D" w:rsidRDefault="000508B8" w:rsidP="00275C3D">
            <w:pPr>
              <w:rPr>
                <w:lang w:eastAsia="en-US" w:bidi="ar-SA"/>
              </w:rPr>
            </w:pPr>
            <w:r w:rsidRPr="00275C3D">
              <w:rPr>
                <w:lang w:eastAsia="en-US" w:bidi="ar-SA"/>
              </w:rPr>
              <w:t>0.2232</w:t>
            </w:r>
          </w:p>
        </w:tc>
        <w:tc>
          <w:tcPr>
            <w:tcW w:w="1315" w:type="dxa"/>
          </w:tcPr>
          <w:p w14:paraId="24A4A231" w14:textId="77777777" w:rsidR="000508B8" w:rsidRPr="00275C3D" w:rsidRDefault="000508B8" w:rsidP="00275C3D">
            <w:pPr>
              <w:rPr>
                <w:lang w:eastAsia="en-US" w:bidi="ar-SA"/>
              </w:rPr>
            </w:pPr>
            <w:r w:rsidRPr="00275C3D">
              <w:rPr>
                <w:lang w:eastAsia="en-US" w:bidi="ar-SA"/>
              </w:rPr>
              <w:t>2.6%</w:t>
            </w:r>
          </w:p>
        </w:tc>
        <w:tc>
          <w:tcPr>
            <w:tcW w:w="1380" w:type="dxa"/>
          </w:tcPr>
          <w:p w14:paraId="5AEF0B0A" w14:textId="77777777" w:rsidR="000508B8" w:rsidRPr="00275C3D" w:rsidRDefault="000508B8" w:rsidP="00275C3D">
            <w:pPr>
              <w:rPr>
                <w:lang w:eastAsia="en-US" w:bidi="ar-SA"/>
              </w:rPr>
            </w:pPr>
            <w:r w:rsidRPr="00275C3D">
              <w:rPr>
                <w:lang w:eastAsia="en-US" w:bidi="ar-SA"/>
              </w:rPr>
              <w:t>0.223</w:t>
            </w:r>
          </w:p>
        </w:tc>
      </w:tr>
      <w:tr w:rsidR="000508B8" w14:paraId="09C2A3CB" w14:textId="77777777" w:rsidTr="00C354DE">
        <w:tc>
          <w:tcPr>
            <w:tcW w:w="739" w:type="dxa"/>
          </w:tcPr>
          <w:p w14:paraId="28457584" w14:textId="77777777" w:rsidR="000508B8" w:rsidRPr="00275C3D" w:rsidRDefault="000508B8" w:rsidP="00275C3D">
            <w:pPr>
              <w:rPr>
                <w:lang w:eastAsia="en-US" w:bidi="ar-SA"/>
              </w:rPr>
            </w:pPr>
            <w:r w:rsidRPr="00275C3D">
              <w:rPr>
                <w:lang w:eastAsia="en-US" w:bidi="ar-SA"/>
              </w:rPr>
              <w:t>-2.6</w:t>
            </w:r>
          </w:p>
        </w:tc>
        <w:tc>
          <w:tcPr>
            <w:tcW w:w="1523" w:type="dxa"/>
          </w:tcPr>
          <w:p w14:paraId="0BBA142F" w14:textId="77777777" w:rsidR="000508B8" w:rsidRPr="00275C3D" w:rsidRDefault="000508B8" w:rsidP="00275C3D">
            <w:pPr>
              <w:rPr>
                <w:lang w:eastAsia="en-US" w:bidi="ar-SA"/>
              </w:rPr>
            </w:pPr>
            <w:r w:rsidRPr="00275C3D">
              <w:rPr>
                <w:lang w:eastAsia="en-US" w:bidi="ar-SA"/>
              </w:rPr>
              <w:t>8.73</w:t>
            </w:r>
          </w:p>
        </w:tc>
        <w:tc>
          <w:tcPr>
            <w:tcW w:w="1134" w:type="dxa"/>
          </w:tcPr>
          <w:p w14:paraId="7CA510A2" w14:textId="77777777" w:rsidR="000508B8" w:rsidRPr="00275C3D" w:rsidRDefault="000508B8" w:rsidP="00275C3D">
            <w:pPr>
              <w:rPr>
                <w:lang w:eastAsia="en-US" w:bidi="ar-SA"/>
              </w:rPr>
            </w:pPr>
            <w:r w:rsidRPr="00275C3D">
              <w:rPr>
                <w:lang w:eastAsia="en-US" w:bidi="ar-SA"/>
              </w:rPr>
              <w:t>1.761</w:t>
            </w:r>
          </w:p>
        </w:tc>
        <w:tc>
          <w:tcPr>
            <w:tcW w:w="897" w:type="dxa"/>
          </w:tcPr>
          <w:p w14:paraId="637C1494" w14:textId="77777777" w:rsidR="000508B8" w:rsidRPr="00275C3D" w:rsidRDefault="000508B8" w:rsidP="00275C3D">
            <w:pPr>
              <w:rPr>
                <w:lang w:eastAsia="en-US" w:bidi="ar-SA"/>
              </w:rPr>
            </w:pPr>
            <w:r w:rsidRPr="00275C3D">
              <w:rPr>
                <w:lang w:eastAsia="en-US" w:bidi="ar-SA"/>
              </w:rPr>
              <w:t>95.0</w:t>
            </w:r>
          </w:p>
        </w:tc>
        <w:tc>
          <w:tcPr>
            <w:tcW w:w="1157" w:type="dxa"/>
          </w:tcPr>
          <w:p w14:paraId="2A2E6A2D" w14:textId="77777777" w:rsidR="000508B8" w:rsidRPr="00275C3D" w:rsidRDefault="000508B8" w:rsidP="00275C3D">
            <w:pPr>
              <w:rPr>
                <w:lang w:eastAsia="en-US" w:bidi="ar-SA"/>
              </w:rPr>
            </w:pPr>
            <w:r w:rsidRPr="00275C3D">
              <w:rPr>
                <w:lang w:eastAsia="en-US" w:bidi="ar-SA"/>
              </w:rPr>
              <w:t>0.058</w:t>
            </w:r>
          </w:p>
        </w:tc>
        <w:tc>
          <w:tcPr>
            <w:tcW w:w="1205" w:type="dxa"/>
          </w:tcPr>
          <w:p w14:paraId="51AC1637" w14:textId="77777777" w:rsidR="000508B8" w:rsidRPr="00275C3D" w:rsidRDefault="000508B8" w:rsidP="00275C3D">
            <w:pPr>
              <w:rPr>
                <w:lang w:eastAsia="en-US" w:bidi="ar-SA"/>
              </w:rPr>
            </w:pPr>
            <w:r w:rsidRPr="00275C3D">
              <w:rPr>
                <w:lang w:eastAsia="en-US" w:bidi="ar-SA"/>
              </w:rPr>
              <w:t>0.2401</w:t>
            </w:r>
          </w:p>
        </w:tc>
        <w:tc>
          <w:tcPr>
            <w:tcW w:w="1315" w:type="dxa"/>
          </w:tcPr>
          <w:p w14:paraId="51DD1BF6" w14:textId="77777777" w:rsidR="000508B8" w:rsidRPr="00275C3D" w:rsidRDefault="000508B8" w:rsidP="00275C3D">
            <w:pPr>
              <w:rPr>
                <w:lang w:eastAsia="en-US" w:bidi="ar-SA"/>
              </w:rPr>
            </w:pPr>
            <w:r w:rsidRPr="00275C3D">
              <w:rPr>
                <w:lang w:eastAsia="en-US" w:bidi="ar-SA"/>
              </w:rPr>
              <w:t>2.6%</w:t>
            </w:r>
          </w:p>
        </w:tc>
        <w:tc>
          <w:tcPr>
            <w:tcW w:w="1380" w:type="dxa"/>
          </w:tcPr>
          <w:p w14:paraId="2A86A05C" w14:textId="77777777" w:rsidR="000508B8" w:rsidRPr="00275C3D" w:rsidRDefault="000508B8" w:rsidP="00275C3D">
            <w:pPr>
              <w:rPr>
                <w:lang w:eastAsia="en-US" w:bidi="ar-SA"/>
              </w:rPr>
            </w:pPr>
            <w:r w:rsidRPr="00275C3D">
              <w:rPr>
                <w:lang w:eastAsia="en-US" w:bidi="ar-SA"/>
              </w:rPr>
              <w:t>0.240</w:t>
            </w:r>
          </w:p>
        </w:tc>
      </w:tr>
      <w:tr w:rsidR="000508B8" w14:paraId="02ACFCCC" w14:textId="77777777" w:rsidTr="00C354DE">
        <w:tc>
          <w:tcPr>
            <w:tcW w:w="739" w:type="dxa"/>
          </w:tcPr>
          <w:p w14:paraId="0B126955" w14:textId="77777777" w:rsidR="000508B8" w:rsidRPr="00275C3D" w:rsidRDefault="000508B8" w:rsidP="00275C3D">
            <w:pPr>
              <w:rPr>
                <w:lang w:eastAsia="en-US" w:bidi="ar-SA"/>
              </w:rPr>
            </w:pPr>
            <w:r w:rsidRPr="00275C3D">
              <w:rPr>
                <w:lang w:eastAsia="en-US" w:bidi="ar-SA"/>
              </w:rPr>
              <w:t>-2.5</w:t>
            </w:r>
          </w:p>
        </w:tc>
        <w:tc>
          <w:tcPr>
            <w:tcW w:w="1523" w:type="dxa"/>
          </w:tcPr>
          <w:p w14:paraId="5C5F9966" w14:textId="77777777" w:rsidR="000508B8" w:rsidRPr="00275C3D" w:rsidRDefault="000508B8" w:rsidP="00275C3D">
            <w:pPr>
              <w:rPr>
                <w:lang w:eastAsia="en-US" w:bidi="ar-SA"/>
              </w:rPr>
            </w:pPr>
            <w:r w:rsidRPr="00275C3D">
              <w:rPr>
                <w:lang w:eastAsia="en-US" w:bidi="ar-SA"/>
              </w:rPr>
              <w:t>7.90</w:t>
            </w:r>
          </w:p>
        </w:tc>
        <w:tc>
          <w:tcPr>
            <w:tcW w:w="1134" w:type="dxa"/>
          </w:tcPr>
          <w:p w14:paraId="5A8CCEBF" w14:textId="77777777" w:rsidR="000508B8" w:rsidRPr="00275C3D" w:rsidRDefault="000508B8" w:rsidP="00275C3D">
            <w:pPr>
              <w:rPr>
                <w:lang w:eastAsia="en-US" w:bidi="ar-SA"/>
              </w:rPr>
            </w:pPr>
            <w:r w:rsidRPr="00275C3D">
              <w:rPr>
                <w:lang w:eastAsia="en-US" w:bidi="ar-SA"/>
              </w:rPr>
              <w:t>1.687</w:t>
            </w:r>
          </w:p>
        </w:tc>
        <w:tc>
          <w:tcPr>
            <w:tcW w:w="897" w:type="dxa"/>
          </w:tcPr>
          <w:p w14:paraId="66E4566B" w14:textId="77777777" w:rsidR="000508B8" w:rsidRPr="00275C3D" w:rsidRDefault="000508B8" w:rsidP="00275C3D">
            <w:pPr>
              <w:rPr>
                <w:lang w:eastAsia="en-US" w:bidi="ar-SA"/>
              </w:rPr>
            </w:pPr>
            <w:r w:rsidRPr="00275C3D">
              <w:rPr>
                <w:lang w:eastAsia="en-US" w:bidi="ar-SA"/>
              </w:rPr>
              <w:t>83.1</w:t>
            </w:r>
          </w:p>
        </w:tc>
        <w:tc>
          <w:tcPr>
            <w:tcW w:w="1157" w:type="dxa"/>
          </w:tcPr>
          <w:p w14:paraId="60D42953" w14:textId="77777777" w:rsidR="000508B8" w:rsidRPr="00275C3D" w:rsidRDefault="000508B8" w:rsidP="00275C3D">
            <w:pPr>
              <w:rPr>
                <w:lang w:eastAsia="en-US" w:bidi="ar-SA"/>
              </w:rPr>
            </w:pPr>
            <w:r w:rsidRPr="00275C3D">
              <w:rPr>
                <w:lang w:eastAsia="en-US" w:bidi="ar-SA"/>
              </w:rPr>
              <w:t>0.057</w:t>
            </w:r>
          </w:p>
        </w:tc>
        <w:tc>
          <w:tcPr>
            <w:tcW w:w="1205" w:type="dxa"/>
          </w:tcPr>
          <w:p w14:paraId="464248EB" w14:textId="77777777" w:rsidR="000508B8" w:rsidRPr="00275C3D" w:rsidRDefault="000508B8" w:rsidP="00275C3D">
            <w:pPr>
              <w:rPr>
                <w:lang w:eastAsia="en-US" w:bidi="ar-SA"/>
              </w:rPr>
            </w:pPr>
            <w:r w:rsidRPr="00275C3D">
              <w:rPr>
                <w:lang w:eastAsia="en-US" w:bidi="ar-SA"/>
              </w:rPr>
              <w:t>0.2483</w:t>
            </w:r>
          </w:p>
        </w:tc>
        <w:tc>
          <w:tcPr>
            <w:tcW w:w="1315" w:type="dxa"/>
          </w:tcPr>
          <w:p w14:paraId="77F42B32" w14:textId="77777777" w:rsidR="000508B8" w:rsidRPr="00275C3D" w:rsidRDefault="000508B8" w:rsidP="00275C3D">
            <w:pPr>
              <w:rPr>
                <w:lang w:eastAsia="en-US" w:bidi="ar-SA"/>
              </w:rPr>
            </w:pPr>
            <w:r w:rsidRPr="00275C3D">
              <w:rPr>
                <w:lang w:eastAsia="en-US" w:bidi="ar-SA"/>
              </w:rPr>
              <w:t>2.7%</w:t>
            </w:r>
          </w:p>
        </w:tc>
        <w:tc>
          <w:tcPr>
            <w:tcW w:w="1380" w:type="dxa"/>
          </w:tcPr>
          <w:p w14:paraId="6D2A1678" w14:textId="77777777" w:rsidR="000508B8" w:rsidRPr="00275C3D" w:rsidRDefault="000508B8" w:rsidP="00275C3D">
            <w:pPr>
              <w:rPr>
                <w:lang w:eastAsia="en-US" w:bidi="ar-SA"/>
              </w:rPr>
            </w:pPr>
            <w:r w:rsidRPr="00275C3D">
              <w:rPr>
                <w:lang w:eastAsia="en-US" w:bidi="ar-SA"/>
              </w:rPr>
              <w:t>0.248</w:t>
            </w:r>
          </w:p>
        </w:tc>
      </w:tr>
      <w:tr w:rsidR="000508B8" w14:paraId="04E18CE4" w14:textId="77777777" w:rsidTr="00C354DE">
        <w:tc>
          <w:tcPr>
            <w:tcW w:w="739" w:type="dxa"/>
          </w:tcPr>
          <w:p w14:paraId="416AD3AF" w14:textId="77777777" w:rsidR="000508B8" w:rsidRPr="00275C3D" w:rsidRDefault="000508B8" w:rsidP="00275C3D">
            <w:pPr>
              <w:rPr>
                <w:lang w:eastAsia="en-US" w:bidi="ar-SA"/>
              </w:rPr>
            </w:pPr>
            <w:r w:rsidRPr="00275C3D">
              <w:rPr>
                <w:lang w:eastAsia="en-US" w:bidi="ar-SA"/>
              </w:rPr>
              <w:t>-2.4</w:t>
            </w:r>
          </w:p>
        </w:tc>
        <w:tc>
          <w:tcPr>
            <w:tcW w:w="1523" w:type="dxa"/>
          </w:tcPr>
          <w:p w14:paraId="3A47B58C" w14:textId="77777777" w:rsidR="000508B8" w:rsidRPr="00275C3D" w:rsidRDefault="000508B8" w:rsidP="00275C3D">
            <w:pPr>
              <w:rPr>
                <w:lang w:eastAsia="en-US" w:bidi="ar-SA"/>
              </w:rPr>
            </w:pPr>
            <w:r w:rsidRPr="00275C3D">
              <w:rPr>
                <w:lang w:eastAsia="en-US" w:bidi="ar-SA"/>
              </w:rPr>
              <w:t>7.15</w:t>
            </w:r>
          </w:p>
        </w:tc>
        <w:tc>
          <w:tcPr>
            <w:tcW w:w="1134" w:type="dxa"/>
          </w:tcPr>
          <w:p w14:paraId="6C0C8596" w14:textId="77777777" w:rsidR="000508B8" w:rsidRPr="00275C3D" w:rsidRDefault="000508B8" w:rsidP="00275C3D">
            <w:pPr>
              <w:rPr>
                <w:lang w:eastAsia="en-US" w:bidi="ar-SA"/>
              </w:rPr>
            </w:pPr>
            <w:r w:rsidRPr="00275C3D">
              <w:rPr>
                <w:lang w:eastAsia="en-US" w:bidi="ar-SA"/>
              </w:rPr>
              <w:t>1.614</w:t>
            </w:r>
          </w:p>
        </w:tc>
        <w:tc>
          <w:tcPr>
            <w:tcW w:w="897" w:type="dxa"/>
          </w:tcPr>
          <w:p w14:paraId="376DC181" w14:textId="77777777" w:rsidR="000508B8" w:rsidRPr="00275C3D" w:rsidRDefault="000508B8" w:rsidP="00275C3D">
            <w:pPr>
              <w:rPr>
                <w:lang w:eastAsia="en-US" w:bidi="ar-SA"/>
              </w:rPr>
            </w:pPr>
            <w:r w:rsidRPr="00275C3D">
              <w:rPr>
                <w:lang w:eastAsia="en-US" w:bidi="ar-SA"/>
              </w:rPr>
              <w:t>72.1</w:t>
            </w:r>
          </w:p>
        </w:tc>
        <w:tc>
          <w:tcPr>
            <w:tcW w:w="1157" w:type="dxa"/>
          </w:tcPr>
          <w:p w14:paraId="08A54F01" w14:textId="77777777" w:rsidR="000508B8" w:rsidRPr="00275C3D" w:rsidRDefault="000508B8" w:rsidP="00275C3D">
            <w:pPr>
              <w:rPr>
                <w:lang w:eastAsia="en-US" w:bidi="ar-SA"/>
              </w:rPr>
            </w:pPr>
            <w:r w:rsidRPr="00275C3D">
              <w:rPr>
                <w:lang w:eastAsia="en-US" w:bidi="ar-SA"/>
              </w:rPr>
              <w:t>0.056</w:t>
            </w:r>
          </w:p>
        </w:tc>
        <w:tc>
          <w:tcPr>
            <w:tcW w:w="1205" w:type="dxa"/>
          </w:tcPr>
          <w:p w14:paraId="48D4845F" w14:textId="77777777" w:rsidR="000508B8" w:rsidRPr="00275C3D" w:rsidRDefault="000508B8" w:rsidP="00275C3D">
            <w:pPr>
              <w:rPr>
                <w:lang w:eastAsia="en-US" w:bidi="ar-SA"/>
              </w:rPr>
            </w:pPr>
            <w:r w:rsidRPr="00275C3D">
              <w:rPr>
                <w:lang w:eastAsia="en-US" w:bidi="ar-SA"/>
              </w:rPr>
              <w:t>0.2566</w:t>
            </w:r>
          </w:p>
        </w:tc>
        <w:tc>
          <w:tcPr>
            <w:tcW w:w="1315" w:type="dxa"/>
          </w:tcPr>
          <w:p w14:paraId="1BE71465" w14:textId="77777777" w:rsidR="000508B8" w:rsidRPr="00275C3D" w:rsidRDefault="000508B8" w:rsidP="00275C3D">
            <w:pPr>
              <w:rPr>
                <w:lang w:eastAsia="en-US" w:bidi="ar-SA"/>
              </w:rPr>
            </w:pPr>
            <w:r w:rsidRPr="00275C3D">
              <w:rPr>
                <w:lang w:eastAsia="en-US" w:bidi="ar-SA"/>
              </w:rPr>
              <w:t>2.7%</w:t>
            </w:r>
          </w:p>
        </w:tc>
        <w:tc>
          <w:tcPr>
            <w:tcW w:w="1380" w:type="dxa"/>
          </w:tcPr>
          <w:p w14:paraId="0B061F0B" w14:textId="77777777" w:rsidR="000508B8" w:rsidRPr="00275C3D" w:rsidRDefault="000508B8" w:rsidP="00275C3D">
            <w:pPr>
              <w:rPr>
                <w:lang w:eastAsia="en-US" w:bidi="ar-SA"/>
              </w:rPr>
            </w:pPr>
            <w:r w:rsidRPr="00275C3D">
              <w:rPr>
                <w:lang w:eastAsia="en-US" w:bidi="ar-SA"/>
              </w:rPr>
              <w:t>0.257</w:t>
            </w:r>
          </w:p>
        </w:tc>
      </w:tr>
      <w:tr w:rsidR="000508B8" w14:paraId="678C70DF" w14:textId="77777777" w:rsidTr="00C354DE">
        <w:tc>
          <w:tcPr>
            <w:tcW w:w="739" w:type="dxa"/>
          </w:tcPr>
          <w:p w14:paraId="5BE6BA87" w14:textId="77777777" w:rsidR="000508B8" w:rsidRPr="00275C3D" w:rsidRDefault="000508B8" w:rsidP="00275C3D">
            <w:pPr>
              <w:rPr>
                <w:lang w:eastAsia="en-US" w:bidi="ar-SA"/>
              </w:rPr>
            </w:pPr>
            <w:r w:rsidRPr="00275C3D">
              <w:rPr>
                <w:lang w:eastAsia="en-US" w:bidi="ar-SA"/>
              </w:rPr>
              <w:t>-2.3</w:t>
            </w:r>
          </w:p>
        </w:tc>
        <w:tc>
          <w:tcPr>
            <w:tcW w:w="1523" w:type="dxa"/>
          </w:tcPr>
          <w:p w14:paraId="3D8EB39F" w14:textId="77777777" w:rsidR="000508B8" w:rsidRPr="00275C3D" w:rsidRDefault="000508B8" w:rsidP="00275C3D">
            <w:pPr>
              <w:rPr>
                <w:lang w:eastAsia="en-US" w:bidi="ar-SA"/>
              </w:rPr>
            </w:pPr>
            <w:r w:rsidRPr="00275C3D">
              <w:rPr>
                <w:lang w:eastAsia="en-US" w:bidi="ar-SA"/>
              </w:rPr>
              <w:t>6.47</w:t>
            </w:r>
          </w:p>
        </w:tc>
        <w:tc>
          <w:tcPr>
            <w:tcW w:w="1134" w:type="dxa"/>
          </w:tcPr>
          <w:p w14:paraId="268DA7CA" w14:textId="77777777" w:rsidR="000508B8" w:rsidRPr="00275C3D" w:rsidRDefault="000508B8" w:rsidP="00275C3D">
            <w:pPr>
              <w:rPr>
                <w:lang w:eastAsia="en-US" w:bidi="ar-SA"/>
              </w:rPr>
            </w:pPr>
            <w:r w:rsidRPr="00275C3D">
              <w:rPr>
                <w:lang w:eastAsia="en-US" w:bidi="ar-SA"/>
              </w:rPr>
              <w:t>1.544</w:t>
            </w:r>
          </w:p>
        </w:tc>
        <w:tc>
          <w:tcPr>
            <w:tcW w:w="897" w:type="dxa"/>
          </w:tcPr>
          <w:p w14:paraId="236ABFBC" w14:textId="77777777" w:rsidR="000508B8" w:rsidRPr="00275C3D" w:rsidRDefault="000508B8" w:rsidP="00275C3D">
            <w:pPr>
              <w:rPr>
                <w:lang w:eastAsia="en-US" w:bidi="ar-SA"/>
              </w:rPr>
            </w:pPr>
            <w:r w:rsidRPr="00275C3D">
              <w:rPr>
                <w:lang w:eastAsia="en-US" w:bidi="ar-SA"/>
              </w:rPr>
              <w:t>62.0</w:t>
            </w:r>
          </w:p>
        </w:tc>
        <w:tc>
          <w:tcPr>
            <w:tcW w:w="1157" w:type="dxa"/>
          </w:tcPr>
          <w:p w14:paraId="514A507C" w14:textId="77777777" w:rsidR="000508B8" w:rsidRPr="00275C3D" w:rsidRDefault="000508B8" w:rsidP="00275C3D">
            <w:pPr>
              <w:rPr>
                <w:lang w:eastAsia="en-US" w:bidi="ar-SA"/>
              </w:rPr>
            </w:pPr>
            <w:r w:rsidRPr="00275C3D">
              <w:rPr>
                <w:lang w:eastAsia="en-US" w:bidi="ar-SA"/>
              </w:rPr>
              <w:t>0.053</w:t>
            </w:r>
          </w:p>
        </w:tc>
        <w:tc>
          <w:tcPr>
            <w:tcW w:w="1205" w:type="dxa"/>
          </w:tcPr>
          <w:p w14:paraId="2AFE7FF0" w14:textId="77777777" w:rsidR="000508B8" w:rsidRPr="00275C3D" w:rsidRDefault="000508B8" w:rsidP="00275C3D">
            <w:pPr>
              <w:rPr>
                <w:lang w:eastAsia="en-US" w:bidi="ar-SA"/>
              </w:rPr>
            </w:pPr>
            <w:r w:rsidRPr="00275C3D">
              <w:rPr>
                <w:lang w:eastAsia="en-US" w:bidi="ar-SA"/>
              </w:rPr>
              <w:t>0.2749</w:t>
            </w:r>
          </w:p>
        </w:tc>
        <w:tc>
          <w:tcPr>
            <w:tcW w:w="1315" w:type="dxa"/>
          </w:tcPr>
          <w:p w14:paraId="007EDA55" w14:textId="77777777" w:rsidR="000508B8" w:rsidRPr="00275C3D" w:rsidRDefault="000508B8" w:rsidP="00275C3D">
            <w:pPr>
              <w:rPr>
                <w:lang w:eastAsia="en-US" w:bidi="ar-SA"/>
              </w:rPr>
            </w:pPr>
            <w:r w:rsidRPr="00275C3D">
              <w:rPr>
                <w:lang w:eastAsia="en-US" w:bidi="ar-SA"/>
              </w:rPr>
              <w:t>2.6%</w:t>
            </w:r>
          </w:p>
        </w:tc>
        <w:tc>
          <w:tcPr>
            <w:tcW w:w="1380" w:type="dxa"/>
          </w:tcPr>
          <w:p w14:paraId="1D8A8E93" w14:textId="77777777" w:rsidR="000508B8" w:rsidRPr="00275C3D" w:rsidRDefault="000508B8" w:rsidP="00275C3D">
            <w:pPr>
              <w:rPr>
                <w:lang w:eastAsia="en-US" w:bidi="ar-SA"/>
              </w:rPr>
            </w:pPr>
            <w:r w:rsidRPr="00275C3D">
              <w:rPr>
                <w:lang w:eastAsia="en-US" w:bidi="ar-SA"/>
              </w:rPr>
              <w:t>0.275</w:t>
            </w:r>
          </w:p>
        </w:tc>
      </w:tr>
      <w:tr w:rsidR="000508B8" w14:paraId="19EC19F8" w14:textId="77777777" w:rsidTr="00C354DE">
        <w:tc>
          <w:tcPr>
            <w:tcW w:w="739" w:type="dxa"/>
          </w:tcPr>
          <w:p w14:paraId="11D30DB1" w14:textId="77777777" w:rsidR="000508B8" w:rsidRPr="00275C3D" w:rsidRDefault="000508B8" w:rsidP="00275C3D">
            <w:pPr>
              <w:rPr>
                <w:lang w:eastAsia="en-US" w:bidi="ar-SA"/>
              </w:rPr>
            </w:pPr>
            <w:r w:rsidRPr="00275C3D">
              <w:rPr>
                <w:lang w:eastAsia="en-US" w:bidi="ar-SA"/>
              </w:rPr>
              <w:t>-2.2</w:t>
            </w:r>
          </w:p>
        </w:tc>
        <w:tc>
          <w:tcPr>
            <w:tcW w:w="1523" w:type="dxa"/>
          </w:tcPr>
          <w:p w14:paraId="68C10608" w14:textId="77777777" w:rsidR="000508B8" w:rsidRPr="00275C3D" w:rsidRDefault="000508B8" w:rsidP="00275C3D">
            <w:pPr>
              <w:rPr>
                <w:lang w:eastAsia="en-US" w:bidi="ar-SA"/>
              </w:rPr>
            </w:pPr>
            <w:r w:rsidRPr="00275C3D">
              <w:rPr>
                <w:lang w:eastAsia="en-US" w:bidi="ar-SA"/>
              </w:rPr>
              <w:t>5.85</w:t>
            </w:r>
          </w:p>
        </w:tc>
        <w:tc>
          <w:tcPr>
            <w:tcW w:w="1134" w:type="dxa"/>
          </w:tcPr>
          <w:p w14:paraId="50114CBA" w14:textId="77777777" w:rsidR="000508B8" w:rsidRPr="00275C3D" w:rsidRDefault="000508B8" w:rsidP="00275C3D">
            <w:pPr>
              <w:rPr>
                <w:lang w:eastAsia="en-US" w:bidi="ar-SA"/>
              </w:rPr>
            </w:pPr>
            <w:r w:rsidRPr="00275C3D">
              <w:rPr>
                <w:lang w:eastAsia="en-US" w:bidi="ar-SA"/>
              </w:rPr>
              <w:t>1.475</w:t>
            </w:r>
          </w:p>
        </w:tc>
        <w:tc>
          <w:tcPr>
            <w:tcW w:w="897" w:type="dxa"/>
          </w:tcPr>
          <w:p w14:paraId="42B96405" w14:textId="77777777" w:rsidR="000508B8" w:rsidRPr="00275C3D" w:rsidRDefault="000508B8" w:rsidP="00275C3D">
            <w:pPr>
              <w:rPr>
                <w:lang w:eastAsia="en-US" w:bidi="ar-SA"/>
              </w:rPr>
            </w:pPr>
            <w:r w:rsidRPr="00275C3D">
              <w:rPr>
                <w:lang w:eastAsia="en-US" w:bidi="ar-SA"/>
              </w:rPr>
              <w:t>52.9</w:t>
            </w:r>
          </w:p>
        </w:tc>
        <w:tc>
          <w:tcPr>
            <w:tcW w:w="1157" w:type="dxa"/>
          </w:tcPr>
          <w:p w14:paraId="5D3EF599" w14:textId="77777777" w:rsidR="000508B8" w:rsidRPr="00275C3D" w:rsidRDefault="000508B8" w:rsidP="00275C3D">
            <w:pPr>
              <w:rPr>
                <w:lang w:eastAsia="en-US" w:bidi="ar-SA"/>
              </w:rPr>
            </w:pPr>
            <w:r w:rsidRPr="00275C3D">
              <w:rPr>
                <w:lang w:eastAsia="en-US" w:bidi="ar-SA"/>
              </w:rPr>
              <w:t>0.049</w:t>
            </w:r>
          </w:p>
        </w:tc>
        <w:tc>
          <w:tcPr>
            <w:tcW w:w="1205" w:type="dxa"/>
          </w:tcPr>
          <w:p w14:paraId="5360C9FE" w14:textId="77777777" w:rsidR="000508B8" w:rsidRPr="00275C3D" w:rsidRDefault="000508B8" w:rsidP="00275C3D">
            <w:pPr>
              <w:rPr>
                <w:lang w:eastAsia="en-US" w:bidi="ar-SA"/>
              </w:rPr>
            </w:pPr>
            <w:r w:rsidRPr="00275C3D">
              <w:rPr>
                <w:lang w:eastAsia="en-US" w:bidi="ar-SA"/>
              </w:rPr>
              <w:t>0.2939</w:t>
            </w:r>
          </w:p>
        </w:tc>
        <w:tc>
          <w:tcPr>
            <w:tcW w:w="1315" w:type="dxa"/>
          </w:tcPr>
          <w:p w14:paraId="43320631" w14:textId="77777777" w:rsidR="000508B8" w:rsidRPr="00275C3D" w:rsidRDefault="000508B8" w:rsidP="00275C3D">
            <w:pPr>
              <w:rPr>
                <w:lang w:eastAsia="en-US" w:bidi="ar-SA"/>
              </w:rPr>
            </w:pPr>
            <w:r w:rsidRPr="00275C3D">
              <w:rPr>
                <w:lang w:eastAsia="en-US" w:bidi="ar-SA"/>
              </w:rPr>
              <w:t>2.4%</w:t>
            </w:r>
          </w:p>
        </w:tc>
        <w:tc>
          <w:tcPr>
            <w:tcW w:w="1380" w:type="dxa"/>
          </w:tcPr>
          <w:p w14:paraId="7124555F" w14:textId="77777777" w:rsidR="000508B8" w:rsidRPr="00275C3D" w:rsidRDefault="000508B8" w:rsidP="00275C3D">
            <w:pPr>
              <w:rPr>
                <w:lang w:eastAsia="en-US" w:bidi="ar-SA"/>
              </w:rPr>
            </w:pPr>
            <w:r w:rsidRPr="00275C3D">
              <w:rPr>
                <w:lang w:eastAsia="en-US" w:bidi="ar-SA"/>
              </w:rPr>
              <w:t>0.294</w:t>
            </w:r>
          </w:p>
        </w:tc>
      </w:tr>
      <w:tr w:rsidR="000508B8" w14:paraId="6E99750E" w14:textId="77777777" w:rsidTr="00C354DE">
        <w:tc>
          <w:tcPr>
            <w:tcW w:w="739" w:type="dxa"/>
          </w:tcPr>
          <w:p w14:paraId="11AD0DB2" w14:textId="77777777" w:rsidR="000508B8" w:rsidRPr="00275C3D" w:rsidRDefault="000508B8" w:rsidP="00275C3D">
            <w:pPr>
              <w:rPr>
                <w:lang w:eastAsia="en-US" w:bidi="ar-SA"/>
              </w:rPr>
            </w:pPr>
            <w:r w:rsidRPr="00275C3D">
              <w:rPr>
                <w:lang w:eastAsia="en-US" w:bidi="ar-SA"/>
              </w:rPr>
              <w:t>-2.1</w:t>
            </w:r>
          </w:p>
        </w:tc>
        <w:tc>
          <w:tcPr>
            <w:tcW w:w="1523" w:type="dxa"/>
          </w:tcPr>
          <w:p w14:paraId="36F32DE5" w14:textId="77777777" w:rsidR="000508B8" w:rsidRPr="00275C3D" w:rsidRDefault="000508B8" w:rsidP="00275C3D">
            <w:pPr>
              <w:rPr>
                <w:lang w:eastAsia="en-US" w:bidi="ar-SA"/>
              </w:rPr>
            </w:pPr>
            <w:r w:rsidRPr="00275C3D">
              <w:rPr>
                <w:lang w:eastAsia="en-US" w:bidi="ar-SA"/>
              </w:rPr>
              <w:t>5.30</w:t>
            </w:r>
          </w:p>
        </w:tc>
        <w:tc>
          <w:tcPr>
            <w:tcW w:w="1134" w:type="dxa"/>
          </w:tcPr>
          <w:p w14:paraId="2A3487EE" w14:textId="77777777" w:rsidR="000508B8" w:rsidRPr="00275C3D" w:rsidRDefault="000508B8" w:rsidP="00275C3D">
            <w:pPr>
              <w:rPr>
                <w:lang w:eastAsia="en-US" w:bidi="ar-SA"/>
              </w:rPr>
            </w:pPr>
            <w:r w:rsidRPr="00275C3D">
              <w:rPr>
                <w:lang w:eastAsia="en-US" w:bidi="ar-SA"/>
              </w:rPr>
              <w:t>1.409</w:t>
            </w:r>
          </w:p>
        </w:tc>
        <w:tc>
          <w:tcPr>
            <w:tcW w:w="897" w:type="dxa"/>
          </w:tcPr>
          <w:p w14:paraId="3C4F71DB" w14:textId="77777777" w:rsidR="000508B8" w:rsidRPr="00275C3D" w:rsidRDefault="000508B8" w:rsidP="00275C3D">
            <w:pPr>
              <w:rPr>
                <w:i/>
                <w:iCs/>
                <w:lang w:eastAsia="en-US" w:bidi="ar-SA"/>
              </w:rPr>
            </w:pPr>
            <w:r w:rsidRPr="00275C3D">
              <w:rPr>
                <w:i/>
                <w:iCs/>
                <w:lang w:eastAsia="en-US" w:bidi="ar-SA"/>
              </w:rPr>
              <w:t>44.5</w:t>
            </w:r>
          </w:p>
        </w:tc>
        <w:tc>
          <w:tcPr>
            <w:tcW w:w="1157" w:type="dxa"/>
          </w:tcPr>
          <w:p w14:paraId="4ECFA178" w14:textId="77777777" w:rsidR="000508B8" w:rsidRPr="00275C3D" w:rsidRDefault="000508B8" w:rsidP="00275C3D">
            <w:pPr>
              <w:rPr>
                <w:lang w:eastAsia="en-US" w:bidi="ar-SA"/>
              </w:rPr>
            </w:pPr>
            <w:r w:rsidRPr="00275C3D">
              <w:rPr>
                <w:lang w:eastAsia="en-US" w:bidi="ar-SA"/>
              </w:rPr>
              <w:t>0.044</w:t>
            </w:r>
          </w:p>
        </w:tc>
        <w:tc>
          <w:tcPr>
            <w:tcW w:w="1205" w:type="dxa"/>
          </w:tcPr>
          <w:p w14:paraId="0E725A4E" w14:textId="77777777" w:rsidR="000508B8" w:rsidRPr="00275C3D" w:rsidRDefault="000508B8" w:rsidP="00275C3D">
            <w:pPr>
              <w:rPr>
                <w:lang w:eastAsia="en-US" w:bidi="ar-SA"/>
              </w:rPr>
            </w:pPr>
            <w:r w:rsidRPr="00275C3D">
              <w:rPr>
                <w:lang w:eastAsia="en-US" w:bidi="ar-SA"/>
              </w:rPr>
              <w:t>0.3029</w:t>
            </w:r>
          </w:p>
        </w:tc>
        <w:tc>
          <w:tcPr>
            <w:tcW w:w="1315" w:type="dxa"/>
          </w:tcPr>
          <w:p w14:paraId="53FF106A" w14:textId="77777777" w:rsidR="000508B8" w:rsidRPr="00275C3D" w:rsidRDefault="000508B8" w:rsidP="00275C3D">
            <w:pPr>
              <w:rPr>
                <w:lang w:eastAsia="en-US" w:bidi="ar-SA"/>
              </w:rPr>
            </w:pPr>
            <w:r w:rsidRPr="00275C3D">
              <w:rPr>
                <w:lang w:eastAsia="en-US" w:bidi="ar-SA"/>
              </w:rPr>
              <w:t>2.3%</w:t>
            </w:r>
          </w:p>
        </w:tc>
        <w:tc>
          <w:tcPr>
            <w:tcW w:w="1380" w:type="dxa"/>
          </w:tcPr>
          <w:p w14:paraId="7B25A78B" w14:textId="77777777" w:rsidR="000508B8" w:rsidRPr="00275C3D" w:rsidRDefault="000508B8" w:rsidP="00275C3D">
            <w:pPr>
              <w:rPr>
                <w:lang w:eastAsia="en-US" w:bidi="ar-SA"/>
              </w:rPr>
            </w:pPr>
            <w:r w:rsidRPr="00275C3D">
              <w:rPr>
                <w:lang w:eastAsia="en-US" w:bidi="ar-SA"/>
              </w:rPr>
              <w:t>0.303</w:t>
            </w:r>
          </w:p>
        </w:tc>
      </w:tr>
      <w:tr w:rsidR="000508B8" w14:paraId="70561E5D" w14:textId="77777777" w:rsidTr="00C354DE">
        <w:tc>
          <w:tcPr>
            <w:tcW w:w="739" w:type="dxa"/>
          </w:tcPr>
          <w:p w14:paraId="102C9A24" w14:textId="77777777" w:rsidR="000508B8" w:rsidRPr="00275C3D" w:rsidRDefault="000508B8" w:rsidP="00275C3D">
            <w:pPr>
              <w:rPr>
                <w:lang w:eastAsia="en-US" w:bidi="ar-SA"/>
              </w:rPr>
            </w:pPr>
            <w:r w:rsidRPr="00275C3D">
              <w:rPr>
                <w:lang w:eastAsia="en-US" w:bidi="ar-SA"/>
              </w:rPr>
              <w:t>-2.0</w:t>
            </w:r>
          </w:p>
        </w:tc>
        <w:tc>
          <w:tcPr>
            <w:tcW w:w="1523" w:type="dxa"/>
          </w:tcPr>
          <w:p w14:paraId="1A221AE4" w14:textId="77777777" w:rsidR="000508B8" w:rsidRPr="00275C3D" w:rsidRDefault="000508B8" w:rsidP="00275C3D">
            <w:pPr>
              <w:rPr>
                <w:lang w:eastAsia="en-US" w:bidi="ar-SA"/>
              </w:rPr>
            </w:pPr>
            <w:r w:rsidRPr="00275C3D">
              <w:rPr>
                <w:lang w:eastAsia="en-US" w:bidi="ar-SA"/>
              </w:rPr>
              <w:t>4.79</w:t>
            </w:r>
          </w:p>
        </w:tc>
        <w:tc>
          <w:tcPr>
            <w:tcW w:w="1134" w:type="dxa"/>
          </w:tcPr>
          <w:p w14:paraId="296E5F11" w14:textId="77777777" w:rsidR="000508B8" w:rsidRPr="00275C3D" w:rsidRDefault="000508B8" w:rsidP="00275C3D">
            <w:pPr>
              <w:rPr>
                <w:lang w:eastAsia="en-US" w:bidi="ar-SA"/>
              </w:rPr>
            </w:pPr>
            <w:r w:rsidRPr="00275C3D">
              <w:rPr>
                <w:lang w:eastAsia="en-US" w:bidi="ar-SA"/>
              </w:rPr>
              <w:t>1.345</w:t>
            </w:r>
          </w:p>
        </w:tc>
        <w:tc>
          <w:tcPr>
            <w:tcW w:w="897" w:type="dxa"/>
          </w:tcPr>
          <w:p w14:paraId="0A41D889" w14:textId="77777777" w:rsidR="000508B8" w:rsidRPr="00275C3D" w:rsidRDefault="000508B8" w:rsidP="00275C3D">
            <w:pPr>
              <w:rPr>
                <w:i/>
                <w:iCs/>
                <w:lang w:eastAsia="en-US" w:bidi="ar-SA"/>
              </w:rPr>
            </w:pPr>
            <w:r w:rsidRPr="00275C3D">
              <w:rPr>
                <w:i/>
                <w:iCs/>
                <w:lang w:eastAsia="en-US" w:bidi="ar-SA"/>
              </w:rPr>
              <w:t>37.0</w:t>
            </w:r>
          </w:p>
        </w:tc>
        <w:tc>
          <w:tcPr>
            <w:tcW w:w="1157" w:type="dxa"/>
          </w:tcPr>
          <w:p w14:paraId="1B1CAC94" w14:textId="77777777" w:rsidR="000508B8" w:rsidRPr="00275C3D" w:rsidRDefault="000508B8" w:rsidP="00275C3D">
            <w:pPr>
              <w:rPr>
                <w:lang w:eastAsia="en-US" w:bidi="ar-SA"/>
              </w:rPr>
            </w:pPr>
            <w:r w:rsidRPr="00275C3D">
              <w:rPr>
                <w:lang w:eastAsia="en-US" w:bidi="ar-SA"/>
              </w:rPr>
              <w:t>0.037</w:t>
            </w:r>
          </w:p>
        </w:tc>
        <w:tc>
          <w:tcPr>
            <w:tcW w:w="1205" w:type="dxa"/>
          </w:tcPr>
          <w:p w14:paraId="36157512" w14:textId="77777777" w:rsidR="000508B8" w:rsidRPr="00275C3D" w:rsidRDefault="000508B8" w:rsidP="00275C3D">
            <w:pPr>
              <w:rPr>
                <w:lang w:eastAsia="en-US" w:bidi="ar-SA"/>
              </w:rPr>
            </w:pPr>
            <w:r w:rsidRPr="00275C3D">
              <w:rPr>
                <w:lang w:eastAsia="en-US" w:bidi="ar-SA"/>
              </w:rPr>
              <w:t>0.3228</w:t>
            </w:r>
          </w:p>
        </w:tc>
        <w:tc>
          <w:tcPr>
            <w:tcW w:w="1315" w:type="dxa"/>
          </w:tcPr>
          <w:p w14:paraId="7038FC11" w14:textId="77777777" w:rsidR="000508B8" w:rsidRPr="00275C3D" w:rsidRDefault="000508B8" w:rsidP="00275C3D">
            <w:pPr>
              <w:rPr>
                <w:lang w:eastAsia="en-US" w:bidi="ar-SA"/>
              </w:rPr>
            </w:pPr>
            <w:r w:rsidRPr="00275C3D">
              <w:rPr>
                <w:lang w:eastAsia="en-US" w:bidi="ar-SA"/>
              </w:rPr>
              <w:t>2.0%</w:t>
            </w:r>
          </w:p>
        </w:tc>
        <w:tc>
          <w:tcPr>
            <w:tcW w:w="1380" w:type="dxa"/>
          </w:tcPr>
          <w:p w14:paraId="552B11C9" w14:textId="77777777" w:rsidR="000508B8" w:rsidRPr="00275C3D" w:rsidRDefault="000508B8" w:rsidP="00275C3D">
            <w:pPr>
              <w:rPr>
                <w:lang w:eastAsia="en-US" w:bidi="ar-SA"/>
              </w:rPr>
            </w:pPr>
            <w:r w:rsidRPr="00275C3D">
              <w:rPr>
                <w:lang w:eastAsia="en-US" w:bidi="ar-SA"/>
              </w:rPr>
              <w:t>0.323</w:t>
            </w:r>
          </w:p>
        </w:tc>
      </w:tr>
      <w:tr w:rsidR="000508B8" w14:paraId="32A7554B" w14:textId="77777777" w:rsidTr="00C354DE">
        <w:tc>
          <w:tcPr>
            <w:tcW w:w="739" w:type="dxa"/>
          </w:tcPr>
          <w:p w14:paraId="32D7C787" w14:textId="77777777" w:rsidR="000508B8" w:rsidRPr="00275C3D" w:rsidRDefault="000508B8" w:rsidP="00275C3D">
            <w:pPr>
              <w:rPr>
                <w:lang w:eastAsia="en-US" w:bidi="ar-SA"/>
              </w:rPr>
            </w:pPr>
            <w:r w:rsidRPr="00275C3D">
              <w:rPr>
                <w:lang w:eastAsia="en-US" w:bidi="ar-SA"/>
              </w:rPr>
              <w:t>-1.9</w:t>
            </w:r>
          </w:p>
        </w:tc>
        <w:tc>
          <w:tcPr>
            <w:tcW w:w="1523" w:type="dxa"/>
          </w:tcPr>
          <w:p w14:paraId="1B0E55B2" w14:textId="77777777" w:rsidR="000508B8" w:rsidRPr="00275C3D" w:rsidRDefault="000508B8" w:rsidP="00275C3D">
            <w:pPr>
              <w:rPr>
                <w:lang w:eastAsia="en-US" w:bidi="ar-SA"/>
              </w:rPr>
            </w:pPr>
            <w:r w:rsidRPr="00275C3D">
              <w:rPr>
                <w:lang w:eastAsia="en-US" w:bidi="ar-SA"/>
              </w:rPr>
              <w:t>4.34</w:t>
            </w:r>
          </w:p>
        </w:tc>
        <w:tc>
          <w:tcPr>
            <w:tcW w:w="1134" w:type="dxa"/>
          </w:tcPr>
          <w:p w14:paraId="0FFA445D" w14:textId="77777777" w:rsidR="000508B8" w:rsidRPr="00275C3D" w:rsidRDefault="000508B8" w:rsidP="00275C3D">
            <w:pPr>
              <w:rPr>
                <w:lang w:eastAsia="en-US" w:bidi="ar-SA"/>
              </w:rPr>
            </w:pPr>
            <w:r w:rsidRPr="00275C3D">
              <w:rPr>
                <w:lang w:eastAsia="en-US" w:bidi="ar-SA"/>
              </w:rPr>
              <w:t>1.286</w:t>
            </w:r>
          </w:p>
        </w:tc>
        <w:tc>
          <w:tcPr>
            <w:tcW w:w="897" w:type="dxa"/>
          </w:tcPr>
          <w:p w14:paraId="0F1D6E31" w14:textId="77777777" w:rsidR="000508B8" w:rsidRPr="00275C3D" w:rsidRDefault="000508B8" w:rsidP="00275C3D">
            <w:pPr>
              <w:rPr>
                <w:i/>
                <w:iCs/>
                <w:lang w:eastAsia="en-US" w:bidi="ar-SA"/>
              </w:rPr>
            </w:pPr>
            <w:r w:rsidRPr="00275C3D">
              <w:rPr>
                <w:i/>
                <w:iCs/>
                <w:lang w:eastAsia="en-US" w:bidi="ar-SA"/>
              </w:rPr>
              <w:t>30.1</w:t>
            </w:r>
          </w:p>
        </w:tc>
        <w:tc>
          <w:tcPr>
            <w:tcW w:w="1157" w:type="dxa"/>
          </w:tcPr>
          <w:p w14:paraId="77190F6F" w14:textId="77777777" w:rsidR="000508B8" w:rsidRPr="00275C3D" w:rsidRDefault="000508B8" w:rsidP="00275C3D">
            <w:pPr>
              <w:rPr>
                <w:lang w:eastAsia="en-US" w:bidi="ar-SA"/>
              </w:rPr>
            </w:pPr>
            <w:r w:rsidRPr="00275C3D">
              <w:rPr>
                <w:lang w:eastAsia="en-US" w:bidi="ar-SA"/>
              </w:rPr>
              <w:t>0.029</w:t>
            </w:r>
          </w:p>
        </w:tc>
        <w:tc>
          <w:tcPr>
            <w:tcW w:w="1205" w:type="dxa"/>
          </w:tcPr>
          <w:p w14:paraId="17721A06" w14:textId="77777777" w:rsidR="000508B8" w:rsidRPr="00275C3D" w:rsidRDefault="000508B8" w:rsidP="00275C3D">
            <w:pPr>
              <w:rPr>
                <w:lang w:eastAsia="en-US" w:bidi="ar-SA"/>
              </w:rPr>
            </w:pPr>
            <w:r w:rsidRPr="00275C3D">
              <w:rPr>
                <w:lang w:eastAsia="en-US" w:bidi="ar-SA"/>
              </w:rPr>
              <w:t>0.3320</w:t>
            </w:r>
          </w:p>
        </w:tc>
        <w:tc>
          <w:tcPr>
            <w:tcW w:w="1315" w:type="dxa"/>
          </w:tcPr>
          <w:p w14:paraId="0F5D2609" w14:textId="77777777" w:rsidR="000508B8" w:rsidRPr="00275C3D" w:rsidRDefault="000508B8" w:rsidP="00275C3D">
            <w:pPr>
              <w:rPr>
                <w:lang w:eastAsia="en-US" w:bidi="ar-SA"/>
              </w:rPr>
            </w:pPr>
            <w:r w:rsidRPr="00275C3D">
              <w:rPr>
                <w:lang w:eastAsia="en-US" w:bidi="ar-SA"/>
              </w:rPr>
              <w:t>1.6%</w:t>
            </w:r>
          </w:p>
        </w:tc>
        <w:tc>
          <w:tcPr>
            <w:tcW w:w="1380" w:type="dxa"/>
          </w:tcPr>
          <w:p w14:paraId="0388D02F" w14:textId="77777777" w:rsidR="000508B8" w:rsidRPr="00275C3D" w:rsidRDefault="000508B8" w:rsidP="00275C3D">
            <w:pPr>
              <w:rPr>
                <w:lang w:eastAsia="en-US" w:bidi="ar-SA"/>
              </w:rPr>
            </w:pPr>
            <w:r w:rsidRPr="00275C3D">
              <w:rPr>
                <w:lang w:eastAsia="en-US" w:bidi="ar-SA"/>
              </w:rPr>
              <w:t>0.332</w:t>
            </w:r>
          </w:p>
        </w:tc>
      </w:tr>
      <w:tr w:rsidR="000508B8" w14:paraId="0A8E0A0E" w14:textId="77777777" w:rsidTr="00C354DE">
        <w:tc>
          <w:tcPr>
            <w:tcW w:w="739" w:type="dxa"/>
          </w:tcPr>
          <w:p w14:paraId="587FFD41" w14:textId="77777777" w:rsidR="000508B8" w:rsidRPr="00275C3D" w:rsidRDefault="000508B8" w:rsidP="00275C3D">
            <w:pPr>
              <w:rPr>
                <w:lang w:eastAsia="en-US" w:bidi="ar-SA"/>
              </w:rPr>
            </w:pPr>
            <w:r w:rsidRPr="00275C3D">
              <w:rPr>
                <w:lang w:eastAsia="en-US" w:bidi="ar-SA"/>
              </w:rPr>
              <w:t>-1.8</w:t>
            </w:r>
          </w:p>
        </w:tc>
        <w:tc>
          <w:tcPr>
            <w:tcW w:w="1523" w:type="dxa"/>
          </w:tcPr>
          <w:p w14:paraId="41238CBE" w14:textId="77777777" w:rsidR="000508B8" w:rsidRPr="00275C3D" w:rsidRDefault="000508B8" w:rsidP="00275C3D">
            <w:pPr>
              <w:rPr>
                <w:lang w:eastAsia="en-US" w:bidi="ar-SA"/>
              </w:rPr>
            </w:pPr>
            <w:r w:rsidRPr="00275C3D">
              <w:rPr>
                <w:lang w:eastAsia="en-US" w:bidi="ar-SA"/>
              </w:rPr>
              <w:t>3.92</w:t>
            </w:r>
          </w:p>
        </w:tc>
        <w:tc>
          <w:tcPr>
            <w:tcW w:w="1134" w:type="dxa"/>
          </w:tcPr>
          <w:p w14:paraId="0BDB1E9B" w14:textId="77777777" w:rsidR="000508B8" w:rsidRPr="00275C3D" w:rsidRDefault="000508B8" w:rsidP="00275C3D">
            <w:pPr>
              <w:rPr>
                <w:lang w:eastAsia="en-US" w:bidi="ar-SA"/>
              </w:rPr>
            </w:pPr>
            <w:r w:rsidRPr="00275C3D">
              <w:rPr>
                <w:lang w:eastAsia="en-US" w:bidi="ar-SA"/>
              </w:rPr>
              <w:t>1.234</w:t>
            </w:r>
          </w:p>
        </w:tc>
        <w:tc>
          <w:tcPr>
            <w:tcW w:w="897" w:type="dxa"/>
          </w:tcPr>
          <w:p w14:paraId="7031E205" w14:textId="77777777" w:rsidR="000508B8" w:rsidRPr="00275C3D" w:rsidRDefault="000508B8" w:rsidP="00275C3D">
            <w:pPr>
              <w:rPr>
                <w:i/>
                <w:iCs/>
                <w:lang w:eastAsia="en-US" w:bidi="ar-SA"/>
              </w:rPr>
            </w:pPr>
            <w:r w:rsidRPr="00275C3D">
              <w:rPr>
                <w:i/>
                <w:iCs/>
                <w:lang w:eastAsia="en-US" w:bidi="ar-SA"/>
              </w:rPr>
              <w:t>23.7</w:t>
            </w:r>
          </w:p>
        </w:tc>
        <w:tc>
          <w:tcPr>
            <w:tcW w:w="1157" w:type="dxa"/>
          </w:tcPr>
          <w:p w14:paraId="44B8BF1F" w14:textId="77777777" w:rsidR="000508B8" w:rsidRPr="00275C3D" w:rsidRDefault="000508B8" w:rsidP="00275C3D">
            <w:pPr>
              <w:rPr>
                <w:lang w:eastAsia="en-US" w:bidi="ar-SA"/>
              </w:rPr>
            </w:pPr>
            <w:r w:rsidRPr="00275C3D">
              <w:rPr>
                <w:lang w:eastAsia="en-US" w:bidi="ar-SA"/>
              </w:rPr>
              <w:t>0.020</w:t>
            </w:r>
          </w:p>
        </w:tc>
        <w:tc>
          <w:tcPr>
            <w:tcW w:w="1205" w:type="dxa"/>
          </w:tcPr>
          <w:p w14:paraId="7E88D1EA" w14:textId="77777777" w:rsidR="000508B8" w:rsidRPr="00275C3D" w:rsidRDefault="000508B8" w:rsidP="00275C3D">
            <w:pPr>
              <w:rPr>
                <w:lang w:eastAsia="en-US" w:bidi="ar-SA"/>
              </w:rPr>
            </w:pPr>
            <w:r w:rsidRPr="00275C3D">
              <w:rPr>
                <w:lang w:eastAsia="en-US" w:bidi="ar-SA"/>
              </w:rPr>
              <w:t>0.3527</w:t>
            </w:r>
          </w:p>
        </w:tc>
        <w:tc>
          <w:tcPr>
            <w:tcW w:w="1315" w:type="dxa"/>
          </w:tcPr>
          <w:p w14:paraId="61E9ED0D" w14:textId="77777777" w:rsidR="000508B8" w:rsidRPr="00275C3D" w:rsidRDefault="000508B8" w:rsidP="00275C3D">
            <w:pPr>
              <w:rPr>
                <w:lang w:eastAsia="en-US" w:bidi="ar-SA"/>
              </w:rPr>
            </w:pPr>
            <w:r w:rsidRPr="00275C3D">
              <w:rPr>
                <w:lang w:eastAsia="en-US" w:bidi="ar-SA"/>
              </w:rPr>
              <w:t>1.1%</w:t>
            </w:r>
          </w:p>
        </w:tc>
        <w:tc>
          <w:tcPr>
            <w:tcW w:w="1380" w:type="dxa"/>
          </w:tcPr>
          <w:p w14:paraId="6637ED0D" w14:textId="77777777" w:rsidR="000508B8" w:rsidRPr="00275C3D" w:rsidRDefault="000508B8" w:rsidP="00275C3D">
            <w:pPr>
              <w:rPr>
                <w:lang w:eastAsia="en-US" w:bidi="ar-SA"/>
              </w:rPr>
            </w:pPr>
            <w:r w:rsidRPr="00275C3D">
              <w:rPr>
                <w:lang w:eastAsia="en-US" w:bidi="ar-SA"/>
              </w:rPr>
              <w:t>0.353</w:t>
            </w:r>
          </w:p>
        </w:tc>
      </w:tr>
      <w:tr w:rsidR="000508B8" w14:paraId="695337B7" w14:textId="77777777" w:rsidTr="00C354DE">
        <w:tc>
          <w:tcPr>
            <w:tcW w:w="739" w:type="dxa"/>
          </w:tcPr>
          <w:p w14:paraId="06247802" w14:textId="77777777" w:rsidR="000508B8" w:rsidRPr="00275C3D" w:rsidRDefault="000508B8" w:rsidP="00275C3D">
            <w:pPr>
              <w:rPr>
                <w:lang w:eastAsia="en-US" w:bidi="ar-SA"/>
              </w:rPr>
            </w:pPr>
            <w:r w:rsidRPr="00275C3D">
              <w:rPr>
                <w:lang w:eastAsia="en-US" w:bidi="ar-SA"/>
              </w:rPr>
              <w:t>-1.7</w:t>
            </w:r>
          </w:p>
        </w:tc>
        <w:tc>
          <w:tcPr>
            <w:tcW w:w="1523" w:type="dxa"/>
          </w:tcPr>
          <w:p w14:paraId="401C8BB1" w14:textId="77777777" w:rsidR="000508B8" w:rsidRPr="00275C3D" w:rsidRDefault="000508B8" w:rsidP="00275C3D">
            <w:pPr>
              <w:rPr>
                <w:lang w:eastAsia="en-US" w:bidi="ar-SA"/>
              </w:rPr>
            </w:pPr>
            <w:r w:rsidRPr="00275C3D">
              <w:rPr>
                <w:lang w:eastAsia="en-US" w:bidi="ar-SA"/>
              </w:rPr>
              <w:t>3.55</w:t>
            </w:r>
          </w:p>
        </w:tc>
        <w:tc>
          <w:tcPr>
            <w:tcW w:w="1134" w:type="dxa"/>
          </w:tcPr>
          <w:p w14:paraId="2227CA29" w14:textId="77777777" w:rsidR="000508B8" w:rsidRPr="00275C3D" w:rsidRDefault="000508B8" w:rsidP="00275C3D">
            <w:pPr>
              <w:rPr>
                <w:lang w:eastAsia="en-US" w:bidi="ar-SA"/>
              </w:rPr>
            </w:pPr>
            <w:r w:rsidRPr="00275C3D">
              <w:rPr>
                <w:lang w:eastAsia="en-US" w:bidi="ar-SA"/>
              </w:rPr>
              <w:t>1.192</w:t>
            </w:r>
          </w:p>
        </w:tc>
        <w:tc>
          <w:tcPr>
            <w:tcW w:w="897" w:type="dxa"/>
          </w:tcPr>
          <w:p w14:paraId="6B835DF5" w14:textId="77777777" w:rsidR="000508B8" w:rsidRPr="00275C3D" w:rsidRDefault="000508B8" w:rsidP="00275C3D">
            <w:pPr>
              <w:rPr>
                <w:i/>
                <w:iCs/>
                <w:lang w:eastAsia="en-US" w:bidi="ar-SA"/>
              </w:rPr>
            </w:pPr>
            <w:r w:rsidRPr="00275C3D">
              <w:rPr>
                <w:i/>
                <w:iCs/>
                <w:lang w:eastAsia="en-US" w:bidi="ar-SA"/>
              </w:rPr>
              <w:t>17.8</w:t>
            </w:r>
          </w:p>
        </w:tc>
        <w:tc>
          <w:tcPr>
            <w:tcW w:w="1157" w:type="dxa"/>
          </w:tcPr>
          <w:p w14:paraId="29B882C1" w14:textId="77777777" w:rsidR="000508B8" w:rsidRPr="00275C3D" w:rsidRDefault="000508B8" w:rsidP="00275C3D">
            <w:pPr>
              <w:rPr>
                <w:lang w:eastAsia="en-US" w:bidi="ar-SA"/>
              </w:rPr>
            </w:pPr>
            <w:r w:rsidRPr="00275C3D">
              <w:rPr>
                <w:lang w:eastAsia="en-US" w:bidi="ar-SA"/>
              </w:rPr>
              <w:t>0.010</w:t>
            </w:r>
          </w:p>
        </w:tc>
        <w:tc>
          <w:tcPr>
            <w:tcW w:w="1205" w:type="dxa"/>
          </w:tcPr>
          <w:p w14:paraId="267CFE9B" w14:textId="77777777" w:rsidR="000508B8" w:rsidRPr="00275C3D" w:rsidRDefault="000508B8" w:rsidP="00275C3D">
            <w:pPr>
              <w:rPr>
                <w:lang w:eastAsia="en-US" w:bidi="ar-SA"/>
              </w:rPr>
            </w:pPr>
            <w:r w:rsidRPr="00275C3D">
              <w:rPr>
                <w:lang w:eastAsia="en-US" w:bidi="ar-SA"/>
              </w:rPr>
              <w:t>0.3739</w:t>
            </w:r>
          </w:p>
        </w:tc>
        <w:tc>
          <w:tcPr>
            <w:tcW w:w="1315" w:type="dxa"/>
          </w:tcPr>
          <w:p w14:paraId="244047A4" w14:textId="77777777" w:rsidR="000508B8" w:rsidRPr="00275C3D" w:rsidRDefault="000508B8" w:rsidP="00275C3D">
            <w:pPr>
              <w:rPr>
                <w:lang w:eastAsia="en-US" w:bidi="ar-SA"/>
              </w:rPr>
            </w:pPr>
            <w:r w:rsidRPr="00275C3D">
              <w:rPr>
                <w:lang w:eastAsia="en-US" w:bidi="ar-SA"/>
              </w:rPr>
              <w:t>0.6%</w:t>
            </w:r>
          </w:p>
        </w:tc>
        <w:tc>
          <w:tcPr>
            <w:tcW w:w="1380" w:type="dxa"/>
          </w:tcPr>
          <w:p w14:paraId="5109356B" w14:textId="77777777" w:rsidR="000508B8" w:rsidRPr="00275C3D" w:rsidRDefault="000508B8" w:rsidP="00275C3D">
            <w:pPr>
              <w:rPr>
                <w:lang w:eastAsia="en-US" w:bidi="ar-SA"/>
              </w:rPr>
            </w:pPr>
            <w:r w:rsidRPr="00275C3D">
              <w:rPr>
                <w:lang w:eastAsia="en-US" w:bidi="ar-SA"/>
              </w:rPr>
              <w:t>0.374</w:t>
            </w:r>
          </w:p>
        </w:tc>
      </w:tr>
      <w:tr w:rsidR="000508B8" w14:paraId="367DF76D" w14:textId="77777777" w:rsidTr="00C354DE">
        <w:tc>
          <w:tcPr>
            <w:tcW w:w="739" w:type="dxa"/>
          </w:tcPr>
          <w:p w14:paraId="388D4C43" w14:textId="77777777" w:rsidR="000508B8" w:rsidRPr="00275C3D" w:rsidRDefault="000508B8" w:rsidP="00275C3D">
            <w:pPr>
              <w:rPr>
                <w:lang w:eastAsia="en-US" w:bidi="ar-SA"/>
              </w:rPr>
            </w:pPr>
            <w:r w:rsidRPr="00275C3D">
              <w:rPr>
                <w:lang w:eastAsia="en-US" w:bidi="ar-SA"/>
              </w:rPr>
              <w:t>-1.6</w:t>
            </w:r>
          </w:p>
        </w:tc>
        <w:tc>
          <w:tcPr>
            <w:tcW w:w="1523" w:type="dxa"/>
          </w:tcPr>
          <w:p w14:paraId="1FB36595" w14:textId="77777777" w:rsidR="000508B8" w:rsidRPr="00275C3D" w:rsidRDefault="000508B8" w:rsidP="00275C3D">
            <w:pPr>
              <w:rPr>
                <w:lang w:eastAsia="en-US" w:bidi="ar-SA"/>
              </w:rPr>
            </w:pPr>
            <w:r w:rsidRPr="00275C3D">
              <w:rPr>
                <w:lang w:eastAsia="en-US" w:bidi="ar-SA"/>
              </w:rPr>
              <w:t>3.21</w:t>
            </w:r>
          </w:p>
        </w:tc>
        <w:tc>
          <w:tcPr>
            <w:tcW w:w="1134" w:type="dxa"/>
          </w:tcPr>
          <w:p w14:paraId="404CC44B" w14:textId="77777777" w:rsidR="000508B8" w:rsidRPr="00275C3D" w:rsidRDefault="000508B8" w:rsidP="00275C3D">
            <w:pPr>
              <w:rPr>
                <w:lang w:eastAsia="en-US" w:bidi="ar-SA"/>
              </w:rPr>
            </w:pPr>
            <w:r w:rsidRPr="00275C3D">
              <w:rPr>
                <w:lang w:eastAsia="en-US" w:bidi="ar-SA"/>
              </w:rPr>
              <w:t>1.184</w:t>
            </w:r>
          </w:p>
        </w:tc>
        <w:tc>
          <w:tcPr>
            <w:tcW w:w="897" w:type="dxa"/>
          </w:tcPr>
          <w:p w14:paraId="5C134FCE" w14:textId="77777777" w:rsidR="000508B8" w:rsidRPr="00275C3D" w:rsidRDefault="000508B8" w:rsidP="00275C3D">
            <w:pPr>
              <w:rPr>
                <w:i/>
                <w:iCs/>
                <w:lang w:eastAsia="en-US" w:bidi="ar-SA"/>
              </w:rPr>
            </w:pPr>
            <w:r w:rsidRPr="00275C3D">
              <w:rPr>
                <w:i/>
                <w:iCs/>
                <w:lang w:eastAsia="en-US" w:bidi="ar-SA"/>
              </w:rPr>
              <w:t>11.7</w:t>
            </w:r>
          </w:p>
        </w:tc>
        <w:tc>
          <w:tcPr>
            <w:tcW w:w="1157" w:type="dxa"/>
          </w:tcPr>
          <w:p w14:paraId="6BE97484" w14:textId="77777777" w:rsidR="000508B8" w:rsidRPr="00275C3D" w:rsidRDefault="000508B8" w:rsidP="00275C3D">
            <w:pPr>
              <w:rPr>
                <w:lang w:eastAsia="en-US" w:bidi="ar-SA"/>
              </w:rPr>
            </w:pPr>
            <w:r w:rsidRPr="00275C3D">
              <w:rPr>
                <w:lang w:eastAsia="en-US" w:bidi="ar-SA"/>
              </w:rPr>
              <w:t>0.025</w:t>
            </w:r>
          </w:p>
        </w:tc>
        <w:tc>
          <w:tcPr>
            <w:tcW w:w="1205" w:type="dxa"/>
          </w:tcPr>
          <w:p w14:paraId="7627CE42" w14:textId="77777777" w:rsidR="000508B8" w:rsidRPr="00275C3D" w:rsidRDefault="000508B8" w:rsidP="00275C3D">
            <w:pPr>
              <w:rPr>
                <w:lang w:eastAsia="en-US" w:bidi="ar-SA"/>
              </w:rPr>
            </w:pPr>
            <w:r w:rsidRPr="00275C3D">
              <w:rPr>
                <w:lang w:eastAsia="en-US" w:bidi="ar-SA"/>
              </w:rPr>
              <w:t>0.3954</w:t>
            </w:r>
          </w:p>
        </w:tc>
        <w:tc>
          <w:tcPr>
            <w:tcW w:w="1315" w:type="dxa"/>
          </w:tcPr>
          <w:p w14:paraId="70209FCD" w14:textId="77777777" w:rsidR="000508B8" w:rsidRPr="00275C3D" w:rsidRDefault="000508B8" w:rsidP="00275C3D">
            <w:pPr>
              <w:rPr>
                <w:lang w:eastAsia="en-US" w:bidi="ar-SA"/>
              </w:rPr>
            </w:pPr>
            <w:r w:rsidRPr="00275C3D">
              <w:rPr>
                <w:lang w:eastAsia="en-US" w:bidi="ar-SA"/>
              </w:rPr>
              <w:t>1.5%</w:t>
            </w:r>
          </w:p>
        </w:tc>
        <w:tc>
          <w:tcPr>
            <w:tcW w:w="1380" w:type="dxa"/>
          </w:tcPr>
          <w:p w14:paraId="2E9F75FB" w14:textId="77777777" w:rsidR="000508B8" w:rsidRPr="00275C3D" w:rsidRDefault="000508B8" w:rsidP="00275C3D">
            <w:pPr>
              <w:rPr>
                <w:lang w:eastAsia="en-US" w:bidi="ar-SA"/>
              </w:rPr>
            </w:pPr>
            <w:r w:rsidRPr="00275C3D">
              <w:rPr>
                <w:lang w:eastAsia="en-US" w:bidi="ar-SA"/>
              </w:rPr>
              <w:t>0.395</w:t>
            </w:r>
          </w:p>
        </w:tc>
      </w:tr>
      <w:tr w:rsidR="000508B8" w14:paraId="7F68732B" w14:textId="77777777" w:rsidTr="00C354DE">
        <w:tc>
          <w:tcPr>
            <w:tcW w:w="739" w:type="dxa"/>
          </w:tcPr>
          <w:p w14:paraId="1989D0E4" w14:textId="77777777" w:rsidR="000508B8" w:rsidRPr="00275C3D" w:rsidRDefault="000508B8" w:rsidP="00275C3D">
            <w:pPr>
              <w:rPr>
                <w:lang w:eastAsia="en-US" w:bidi="ar-SA"/>
              </w:rPr>
            </w:pPr>
            <w:r w:rsidRPr="00275C3D">
              <w:rPr>
                <w:lang w:eastAsia="en-US" w:bidi="ar-SA"/>
              </w:rPr>
              <w:t>-1.5</w:t>
            </w:r>
          </w:p>
        </w:tc>
        <w:tc>
          <w:tcPr>
            <w:tcW w:w="1523" w:type="dxa"/>
          </w:tcPr>
          <w:p w14:paraId="571F6875" w14:textId="77777777" w:rsidR="000508B8" w:rsidRPr="00275C3D" w:rsidRDefault="000508B8" w:rsidP="00275C3D">
            <w:pPr>
              <w:rPr>
                <w:lang w:eastAsia="en-US" w:bidi="ar-SA"/>
              </w:rPr>
            </w:pPr>
            <w:r w:rsidRPr="00275C3D">
              <w:rPr>
                <w:lang w:eastAsia="en-US" w:bidi="ar-SA"/>
              </w:rPr>
              <w:t>2.91</w:t>
            </w:r>
          </w:p>
        </w:tc>
        <w:tc>
          <w:tcPr>
            <w:tcW w:w="1134" w:type="dxa"/>
          </w:tcPr>
          <w:p w14:paraId="6AF74218" w14:textId="77777777" w:rsidR="000508B8" w:rsidRPr="00275C3D" w:rsidRDefault="000508B8" w:rsidP="00275C3D">
            <w:pPr>
              <w:rPr>
                <w:lang w:eastAsia="en-US" w:bidi="ar-SA"/>
              </w:rPr>
            </w:pPr>
            <w:r w:rsidRPr="00275C3D">
              <w:rPr>
                <w:lang w:eastAsia="en-US" w:bidi="ar-SA"/>
              </w:rPr>
              <w:t>1.703</w:t>
            </w:r>
          </w:p>
        </w:tc>
        <w:tc>
          <w:tcPr>
            <w:tcW w:w="897" w:type="dxa"/>
          </w:tcPr>
          <w:p w14:paraId="2AAF7AA5" w14:textId="77777777" w:rsidR="000508B8" w:rsidRPr="00275C3D" w:rsidRDefault="000508B8" w:rsidP="00275C3D">
            <w:pPr>
              <w:rPr>
                <w:i/>
                <w:iCs/>
                <w:lang w:eastAsia="en-US" w:bidi="ar-SA"/>
              </w:rPr>
            </w:pPr>
            <w:r w:rsidRPr="00275C3D">
              <w:rPr>
                <w:i/>
                <w:iCs/>
                <w:lang w:eastAsia="en-US" w:bidi="ar-SA"/>
              </w:rPr>
              <w:t>3.0</w:t>
            </w:r>
          </w:p>
        </w:tc>
        <w:tc>
          <w:tcPr>
            <w:tcW w:w="1157" w:type="dxa"/>
          </w:tcPr>
          <w:p w14:paraId="2900E362" w14:textId="77777777" w:rsidR="000508B8" w:rsidRPr="00275C3D" w:rsidRDefault="000508B8" w:rsidP="00275C3D">
            <w:pPr>
              <w:rPr>
                <w:lang w:eastAsia="en-US" w:bidi="ar-SA"/>
              </w:rPr>
            </w:pPr>
            <w:r w:rsidRPr="00275C3D">
              <w:rPr>
                <w:lang w:eastAsia="en-US" w:bidi="ar-SA"/>
              </w:rPr>
              <w:t>0.150</w:t>
            </w:r>
          </w:p>
        </w:tc>
        <w:tc>
          <w:tcPr>
            <w:tcW w:w="1205" w:type="dxa"/>
          </w:tcPr>
          <w:p w14:paraId="221FFF78" w14:textId="77777777" w:rsidR="000508B8" w:rsidRPr="00275C3D" w:rsidRDefault="000508B8" w:rsidP="00275C3D">
            <w:pPr>
              <w:rPr>
                <w:lang w:eastAsia="en-US" w:bidi="ar-SA"/>
              </w:rPr>
            </w:pPr>
            <w:r w:rsidRPr="00275C3D">
              <w:rPr>
                <w:lang w:eastAsia="en-US" w:bidi="ar-SA"/>
              </w:rPr>
              <w:t>0.4053</w:t>
            </w:r>
          </w:p>
        </w:tc>
        <w:tc>
          <w:tcPr>
            <w:tcW w:w="1315" w:type="dxa"/>
          </w:tcPr>
          <w:p w14:paraId="40986267" w14:textId="77777777" w:rsidR="000508B8" w:rsidRPr="00275C3D" w:rsidRDefault="000508B8" w:rsidP="00275C3D">
            <w:pPr>
              <w:rPr>
                <w:lang w:eastAsia="en-US" w:bidi="ar-SA"/>
              </w:rPr>
            </w:pPr>
            <w:r w:rsidRPr="00275C3D">
              <w:rPr>
                <w:lang w:eastAsia="en-US" w:bidi="ar-SA"/>
              </w:rPr>
              <w:t>9.4%</w:t>
            </w:r>
          </w:p>
        </w:tc>
        <w:tc>
          <w:tcPr>
            <w:tcW w:w="1380" w:type="dxa"/>
          </w:tcPr>
          <w:p w14:paraId="3103F205" w14:textId="77777777" w:rsidR="000508B8" w:rsidRPr="00275C3D" w:rsidRDefault="000508B8" w:rsidP="00275C3D">
            <w:pPr>
              <w:rPr>
                <w:lang w:eastAsia="en-US" w:bidi="ar-SA"/>
              </w:rPr>
            </w:pPr>
            <w:r w:rsidRPr="00275C3D">
              <w:rPr>
                <w:lang w:eastAsia="en-US" w:bidi="ar-SA"/>
              </w:rPr>
              <w:t>0.405</w:t>
            </w:r>
          </w:p>
        </w:tc>
      </w:tr>
      <w:tr w:rsidR="000508B8" w14:paraId="05C5FEF8" w14:textId="77777777" w:rsidTr="00C354DE">
        <w:tc>
          <w:tcPr>
            <w:tcW w:w="739" w:type="dxa"/>
          </w:tcPr>
          <w:p w14:paraId="65173227" w14:textId="77777777" w:rsidR="000508B8" w:rsidRPr="00275C3D" w:rsidRDefault="000508B8" w:rsidP="00275C3D">
            <w:pPr>
              <w:rPr>
                <w:lang w:eastAsia="en-US" w:bidi="ar-SA"/>
              </w:rPr>
            </w:pPr>
            <w:r w:rsidRPr="00275C3D">
              <w:rPr>
                <w:lang w:eastAsia="en-US" w:bidi="ar-SA"/>
              </w:rPr>
              <w:t>-1.4</w:t>
            </w:r>
          </w:p>
        </w:tc>
        <w:tc>
          <w:tcPr>
            <w:tcW w:w="1523" w:type="dxa"/>
          </w:tcPr>
          <w:p w14:paraId="45EBF3FC" w14:textId="77777777" w:rsidR="000508B8" w:rsidRPr="00275C3D" w:rsidRDefault="000508B8" w:rsidP="00275C3D">
            <w:pPr>
              <w:rPr>
                <w:lang w:eastAsia="en-US" w:bidi="ar-SA"/>
              </w:rPr>
            </w:pPr>
            <w:r w:rsidRPr="00275C3D">
              <w:rPr>
                <w:lang w:eastAsia="en-US" w:bidi="ar-SA"/>
              </w:rPr>
              <w:t>2.63</w:t>
            </w:r>
          </w:p>
        </w:tc>
        <w:tc>
          <w:tcPr>
            <w:tcW w:w="1134" w:type="dxa"/>
          </w:tcPr>
          <w:p w14:paraId="07FBE105" w14:textId="77777777" w:rsidR="000508B8" w:rsidRPr="00275C3D" w:rsidRDefault="000508B8" w:rsidP="00275C3D">
            <w:pPr>
              <w:rPr>
                <w:lang w:eastAsia="en-US" w:bidi="ar-SA"/>
              </w:rPr>
            </w:pPr>
            <w:r w:rsidRPr="00275C3D">
              <w:rPr>
                <w:lang w:eastAsia="en-US" w:bidi="ar-SA"/>
              </w:rPr>
              <w:t>1.665</w:t>
            </w:r>
          </w:p>
        </w:tc>
        <w:tc>
          <w:tcPr>
            <w:tcW w:w="897" w:type="dxa"/>
          </w:tcPr>
          <w:p w14:paraId="64F42174" w14:textId="77777777" w:rsidR="000508B8" w:rsidRPr="00275C3D" w:rsidRDefault="000508B8" w:rsidP="00275C3D">
            <w:pPr>
              <w:rPr>
                <w:i/>
                <w:iCs/>
                <w:lang w:eastAsia="en-US" w:bidi="ar-SA"/>
              </w:rPr>
            </w:pPr>
            <w:r w:rsidRPr="00275C3D">
              <w:rPr>
                <w:i/>
                <w:iCs/>
                <w:lang w:eastAsia="en-US" w:bidi="ar-SA"/>
              </w:rPr>
              <w:t>2.5</w:t>
            </w:r>
          </w:p>
        </w:tc>
        <w:tc>
          <w:tcPr>
            <w:tcW w:w="1157" w:type="dxa"/>
          </w:tcPr>
          <w:p w14:paraId="04B45887" w14:textId="77777777" w:rsidR="000508B8" w:rsidRPr="00275C3D" w:rsidRDefault="000508B8" w:rsidP="00275C3D">
            <w:pPr>
              <w:rPr>
                <w:lang w:eastAsia="en-US" w:bidi="ar-SA"/>
              </w:rPr>
            </w:pPr>
            <w:r w:rsidRPr="00275C3D">
              <w:rPr>
                <w:lang w:eastAsia="en-US" w:bidi="ar-SA"/>
              </w:rPr>
              <w:t>0.140</w:t>
            </w:r>
          </w:p>
        </w:tc>
        <w:tc>
          <w:tcPr>
            <w:tcW w:w="1205" w:type="dxa"/>
          </w:tcPr>
          <w:p w14:paraId="15B4F06A" w14:textId="77777777" w:rsidR="000508B8" w:rsidRPr="00275C3D" w:rsidRDefault="000508B8" w:rsidP="00275C3D">
            <w:pPr>
              <w:rPr>
                <w:lang w:eastAsia="en-US" w:bidi="ar-SA"/>
              </w:rPr>
            </w:pPr>
            <w:r w:rsidRPr="00275C3D">
              <w:rPr>
                <w:lang w:eastAsia="en-US" w:bidi="ar-SA"/>
              </w:rPr>
              <w:t>0.4272</w:t>
            </w:r>
          </w:p>
        </w:tc>
        <w:tc>
          <w:tcPr>
            <w:tcW w:w="1315" w:type="dxa"/>
          </w:tcPr>
          <w:p w14:paraId="5977BCEA" w14:textId="77777777" w:rsidR="000508B8" w:rsidRPr="00275C3D" w:rsidRDefault="000508B8" w:rsidP="00275C3D">
            <w:pPr>
              <w:rPr>
                <w:lang w:eastAsia="en-US" w:bidi="ar-SA"/>
              </w:rPr>
            </w:pPr>
            <w:r w:rsidRPr="00275C3D">
              <w:rPr>
                <w:lang w:eastAsia="en-US" w:bidi="ar-SA"/>
              </w:rPr>
              <w:t>9.0%</w:t>
            </w:r>
          </w:p>
        </w:tc>
        <w:tc>
          <w:tcPr>
            <w:tcW w:w="1380" w:type="dxa"/>
          </w:tcPr>
          <w:p w14:paraId="619755DE" w14:textId="77777777" w:rsidR="000508B8" w:rsidRPr="00275C3D" w:rsidRDefault="000508B8" w:rsidP="00275C3D">
            <w:pPr>
              <w:rPr>
                <w:lang w:eastAsia="en-US" w:bidi="ar-SA"/>
              </w:rPr>
            </w:pPr>
            <w:r w:rsidRPr="00275C3D">
              <w:rPr>
                <w:lang w:eastAsia="en-US" w:bidi="ar-SA"/>
              </w:rPr>
              <w:t>0.427</w:t>
            </w:r>
          </w:p>
        </w:tc>
      </w:tr>
      <w:tr w:rsidR="000508B8" w14:paraId="019AB563" w14:textId="77777777" w:rsidTr="00C354DE">
        <w:tc>
          <w:tcPr>
            <w:tcW w:w="739" w:type="dxa"/>
          </w:tcPr>
          <w:p w14:paraId="17D310FD" w14:textId="77777777" w:rsidR="000508B8" w:rsidRPr="00275C3D" w:rsidRDefault="000508B8" w:rsidP="00275C3D">
            <w:pPr>
              <w:rPr>
                <w:lang w:eastAsia="en-US" w:bidi="ar-SA"/>
              </w:rPr>
            </w:pPr>
            <w:r w:rsidRPr="00275C3D">
              <w:rPr>
                <w:lang w:eastAsia="en-US" w:bidi="ar-SA"/>
              </w:rPr>
              <w:t>-1.3</w:t>
            </w:r>
          </w:p>
        </w:tc>
        <w:tc>
          <w:tcPr>
            <w:tcW w:w="1523" w:type="dxa"/>
          </w:tcPr>
          <w:p w14:paraId="173F89C9" w14:textId="77777777" w:rsidR="000508B8" w:rsidRPr="00275C3D" w:rsidRDefault="000508B8" w:rsidP="00275C3D">
            <w:pPr>
              <w:rPr>
                <w:lang w:eastAsia="en-US" w:bidi="ar-SA"/>
              </w:rPr>
            </w:pPr>
            <w:r w:rsidRPr="00275C3D">
              <w:rPr>
                <w:lang w:eastAsia="en-US" w:bidi="ar-SA"/>
              </w:rPr>
              <w:t>2.38</w:t>
            </w:r>
          </w:p>
        </w:tc>
        <w:tc>
          <w:tcPr>
            <w:tcW w:w="1134" w:type="dxa"/>
          </w:tcPr>
          <w:p w14:paraId="7B95AF9E" w14:textId="77777777" w:rsidR="000508B8" w:rsidRPr="00275C3D" w:rsidRDefault="000508B8" w:rsidP="00275C3D">
            <w:pPr>
              <w:rPr>
                <w:lang w:eastAsia="en-US" w:bidi="ar-SA"/>
              </w:rPr>
            </w:pPr>
            <w:r w:rsidRPr="00275C3D">
              <w:rPr>
                <w:lang w:eastAsia="en-US" w:bidi="ar-SA"/>
              </w:rPr>
              <w:t>1.195</w:t>
            </w:r>
          </w:p>
        </w:tc>
        <w:tc>
          <w:tcPr>
            <w:tcW w:w="897" w:type="dxa"/>
          </w:tcPr>
          <w:p w14:paraId="387F4B2B" w14:textId="77777777" w:rsidR="000508B8" w:rsidRPr="00275C3D" w:rsidRDefault="000508B8" w:rsidP="00275C3D">
            <w:pPr>
              <w:rPr>
                <w:i/>
                <w:iCs/>
                <w:lang w:eastAsia="en-US" w:bidi="ar-SA"/>
              </w:rPr>
            </w:pPr>
            <w:r w:rsidRPr="00275C3D">
              <w:rPr>
                <w:i/>
                <w:iCs/>
                <w:lang w:eastAsia="en-US" w:bidi="ar-SA"/>
              </w:rPr>
              <w:t>4.0</w:t>
            </w:r>
          </w:p>
        </w:tc>
        <w:tc>
          <w:tcPr>
            <w:tcW w:w="1157" w:type="dxa"/>
          </w:tcPr>
          <w:p w14:paraId="06737363" w14:textId="77777777" w:rsidR="000508B8" w:rsidRPr="00275C3D" w:rsidRDefault="000508B8" w:rsidP="00275C3D">
            <w:pPr>
              <w:rPr>
                <w:lang w:eastAsia="en-US" w:bidi="ar-SA"/>
              </w:rPr>
            </w:pPr>
            <w:r w:rsidRPr="00275C3D">
              <w:rPr>
                <w:lang w:eastAsia="en-US" w:bidi="ar-SA"/>
              </w:rPr>
              <w:t>0.098</w:t>
            </w:r>
          </w:p>
        </w:tc>
        <w:tc>
          <w:tcPr>
            <w:tcW w:w="1205" w:type="dxa"/>
          </w:tcPr>
          <w:p w14:paraId="161E4A60" w14:textId="77777777" w:rsidR="000508B8" w:rsidRPr="00275C3D" w:rsidRDefault="000508B8" w:rsidP="00275C3D">
            <w:pPr>
              <w:rPr>
                <w:lang w:eastAsia="en-US" w:bidi="ar-SA"/>
              </w:rPr>
            </w:pPr>
            <w:r w:rsidRPr="00275C3D">
              <w:rPr>
                <w:lang w:eastAsia="en-US" w:bidi="ar-SA"/>
              </w:rPr>
              <w:t>0.4493</w:t>
            </w:r>
          </w:p>
        </w:tc>
        <w:tc>
          <w:tcPr>
            <w:tcW w:w="1315" w:type="dxa"/>
          </w:tcPr>
          <w:p w14:paraId="2317FB33" w14:textId="77777777" w:rsidR="000508B8" w:rsidRPr="00275C3D" w:rsidRDefault="000508B8" w:rsidP="00275C3D">
            <w:pPr>
              <w:rPr>
                <w:lang w:eastAsia="en-US" w:bidi="ar-SA"/>
              </w:rPr>
            </w:pPr>
            <w:r w:rsidRPr="00275C3D">
              <w:rPr>
                <w:lang w:eastAsia="en-US" w:bidi="ar-SA"/>
              </w:rPr>
              <w:t>6.5%</w:t>
            </w:r>
          </w:p>
        </w:tc>
        <w:tc>
          <w:tcPr>
            <w:tcW w:w="1380" w:type="dxa"/>
          </w:tcPr>
          <w:p w14:paraId="6A0CA173" w14:textId="77777777" w:rsidR="000508B8" w:rsidRPr="00275C3D" w:rsidRDefault="000508B8" w:rsidP="00275C3D">
            <w:pPr>
              <w:rPr>
                <w:lang w:eastAsia="en-US" w:bidi="ar-SA"/>
              </w:rPr>
            </w:pPr>
            <w:r w:rsidRPr="00275C3D">
              <w:rPr>
                <w:lang w:eastAsia="en-US" w:bidi="ar-SA"/>
              </w:rPr>
              <w:t>0.449</w:t>
            </w:r>
          </w:p>
        </w:tc>
      </w:tr>
      <w:tr w:rsidR="000508B8" w14:paraId="6BDA65B2" w14:textId="77777777" w:rsidTr="00C354DE">
        <w:tc>
          <w:tcPr>
            <w:tcW w:w="739" w:type="dxa"/>
          </w:tcPr>
          <w:p w14:paraId="272D4D11" w14:textId="77777777" w:rsidR="000508B8" w:rsidRPr="00275C3D" w:rsidRDefault="000508B8" w:rsidP="00275C3D">
            <w:pPr>
              <w:rPr>
                <w:lang w:eastAsia="en-US" w:bidi="ar-SA"/>
              </w:rPr>
            </w:pPr>
            <w:r w:rsidRPr="00275C3D">
              <w:rPr>
                <w:lang w:eastAsia="en-US" w:bidi="ar-SA"/>
              </w:rPr>
              <w:t>-1.2</w:t>
            </w:r>
          </w:p>
        </w:tc>
        <w:tc>
          <w:tcPr>
            <w:tcW w:w="1523" w:type="dxa"/>
          </w:tcPr>
          <w:p w14:paraId="0FF23E33" w14:textId="77777777" w:rsidR="000508B8" w:rsidRPr="00275C3D" w:rsidRDefault="000508B8" w:rsidP="00275C3D">
            <w:pPr>
              <w:rPr>
                <w:lang w:eastAsia="en-US" w:bidi="ar-SA"/>
              </w:rPr>
            </w:pPr>
            <w:r w:rsidRPr="00275C3D">
              <w:rPr>
                <w:lang w:eastAsia="en-US" w:bidi="ar-SA"/>
              </w:rPr>
              <w:t>2.15</w:t>
            </w:r>
          </w:p>
        </w:tc>
        <w:tc>
          <w:tcPr>
            <w:tcW w:w="1134" w:type="dxa"/>
          </w:tcPr>
          <w:p w14:paraId="5B48F245" w14:textId="77777777" w:rsidR="000508B8" w:rsidRPr="00275C3D" w:rsidRDefault="000508B8" w:rsidP="00275C3D">
            <w:pPr>
              <w:rPr>
                <w:lang w:eastAsia="en-US" w:bidi="ar-SA"/>
              </w:rPr>
            </w:pPr>
            <w:r w:rsidRPr="00275C3D">
              <w:rPr>
                <w:lang w:eastAsia="en-US" w:bidi="ar-SA"/>
              </w:rPr>
              <w:t>0.855</w:t>
            </w:r>
          </w:p>
        </w:tc>
        <w:tc>
          <w:tcPr>
            <w:tcW w:w="897" w:type="dxa"/>
          </w:tcPr>
          <w:p w14:paraId="18832B0E" w14:textId="77777777" w:rsidR="000508B8" w:rsidRPr="00275C3D" w:rsidRDefault="000508B8" w:rsidP="00275C3D">
            <w:pPr>
              <w:rPr>
                <w:i/>
                <w:iCs/>
                <w:lang w:eastAsia="en-US" w:bidi="ar-SA"/>
              </w:rPr>
            </w:pPr>
            <w:r w:rsidRPr="00275C3D">
              <w:rPr>
                <w:i/>
                <w:iCs/>
                <w:lang w:eastAsia="en-US" w:bidi="ar-SA"/>
              </w:rPr>
              <w:t>9.2</w:t>
            </w:r>
          </w:p>
        </w:tc>
        <w:tc>
          <w:tcPr>
            <w:tcW w:w="1157" w:type="dxa"/>
          </w:tcPr>
          <w:p w14:paraId="7B177C1E" w14:textId="77777777" w:rsidR="000508B8" w:rsidRPr="00275C3D" w:rsidRDefault="000508B8" w:rsidP="00275C3D">
            <w:pPr>
              <w:rPr>
                <w:lang w:eastAsia="en-US" w:bidi="ar-SA"/>
              </w:rPr>
            </w:pPr>
            <w:r w:rsidRPr="00275C3D">
              <w:rPr>
                <w:lang w:eastAsia="en-US" w:bidi="ar-SA"/>
              </w:rPr>
              <w:t>0.165</w:t>
            </w:r>
          </w:p>
        </w:tc>
        <w:tc>
          <w:tcPr>
            <w:tcW w:w="1205" w:type="dxa"/>
          </w:tcPr>
          <w:p w14:paraId="4F018867" w14:textId="77777777" w:rsidR="000508B8" w:rsidRPr="00275C3D" w:rsidRDefault="000508B8" w:rsidP="00275C3D">
            <w:pPr>
              <w:rPr>
                <w:lang w:eastAsia="en-US" w:bidi="ar-SA"/>
              </w:rPr>
            </w:pPr>
            <w:r w:rsidRPr="00275C3D">
              <w:rPr>
                <w:lang w:eastAsia="en-US" w:bidi="ar-SA"/>
              </w:rPr>
              <w:t>0.4716</w:t>
            </w:r>
          </w:p>
        </w:tc>
        <w:tc>
          <w:tcPr>
            <w:tcW w:w="1315" w:type="dxa"/>
          </w:tcPr>
          <w:p w14:paraId="08DABADA" w14:textId="77777777" w:rsidR="000508B8" w:rsidRPr="00275C3D" w:rsidRDefault="000508B8" w:rsidP="00275C3D">
            <w:pPr>
              <w:rPr>
                <w:lang w:eastAsia="en-US" w:bidi="ar-SA"/>
              </w:rPr>
            </w:pPr>
            <w:r w:rsidRPr="00275C3D">
              <w:rPr>
                <w:lang w:eastAsia="en-US" w:bidi="ar-SA"/>
              </w:rPr>
              <w:t>11.2%</w:t>
            </w:r>
          </w:p>
        </w:tc>
        <w:tc>
          <w:tcPr>
            <w:tcW w:w="1380" w:type="dxa"/>
          </w:tcPr>
          <w:p w14:paraId="4A3EF218" w14:textId="77777777" w:rsidR="000508B8" w:rsidRPr="00275C3D" w:rsidRDefault="000508B8" w:rsidP="00275C3D">
            <w:pPr>
              <w:rPr>
                <w:lang w:eastAsia="en-US" w:bidi="ar-SA"/>
              </w:rPr>
            </w:pPr>
            <w:r w:rsidRPr="00275C3D">
              <w:rPr>
                <w:lang w:eastAsia="en-US" w:bidi="ar-SA"/>
              </w:rPr>
              <w:t>0.472</w:t>
            </w:r>
          </w:p>
        </w:tc>
      </w:tr>
      <w:tr w:rsidR="00A1567E" w14:paraId="21DC42D0" w14:textId="77777777" w:rsidTr="005B3CB4">
        <w:trPr>
          <w:trHeight w:val="242"/>
        </w:trPr>
        <w:tc>
          <w:tcPr>
            <w:tcW w:w="9350" w:type="dxa"/>
            <w:gridSpan w:val="8"/>
          </w:tcPr>
          <w:p w14:paraId="347C5BD8" w14:textId="77777777" w:rsidR="00A1567E" w:rsidRPr="004A37BC" w:rsidRDefault="00A1567E" w:rsidP="00543A53">
            <w:pPr>
              <w:pStyle w:val="NoSpacing"/>
              <w:rPr>
                <w:rFonts w:ascii="Arial" w:eastAsiaTheme="minorHAnsi" w:hAnsi="Arial"/>
                <w:color w:val="000000"/>
                <w:kern w:val="0"/>
                <w:lang w:eastAsia="en-US" w:bidi="ar-SA"/>
              </w:rPr>
            </w:pPr>
            <w:r w:rsidRPr="004A37BC">
              <w:rPr>
                <w:rFonts w:ascii="Arial" w:eastAsiaTheme="minorHAnsi" w:hAnsi="Arial"/>
                <w:color w:val="000000"/>
                <w:kern w:val="0"/>
                <w:lang w:eastAsia="en-US" w:bidi="ar-SA"/>
              </w:rPr>
              <w:t>**</w:t>
            </w:r>
            <w:r w:rsidRPr="004A37BC">
              <w:rPr>
                <w:rFonts w:eastAsiaTheme="minorHAnsi" w:cs="Times New Roman"/>
                <w:color w:val="000000"/>
                <w:kern w:val="0"/>
                <w:lang w:eastAsia="en-US" w:bidi="ar-SA"/>
              </w:rPr>
              <w:t>χ</w:t>
            </w:r>
            <w:r w:rsidRPr="004A37BC">
              <w:rPr>
                <w:rFonts w:ascii="Arial" w:eastAsiaTheme="minorHAnsi" w:hAnsi="Arial"/>
                <w:color w:val="000000"/>
                <w:kern w:val="0"/>
                <w:vertAlign w:val="subscript"/>
                <w:lang w:eastAsia="en-US" w:bidi="ar-SA"/>
              </w:rPr>
              <w:t>ς</w:t>
            </w:r>
            <w:r w:rsidRPr="004A37BC">
              <w:rPr>
                <w:rFonts w:ascii="Arial" w:eastAsiaTheme="minorHAnsi" w:hAnsi="Arial"/>
                <w:color w:val="000000"/>
                <w:kern w:val="0"/>
                <w:lang w:eastAsia="en-US" w:bidi="ar-SA"/>
              </w:rPr>
              <w:t xml:space="preserve"> is above th</w:t>
            </w:r>
            <w:r w:rsidRPr="004A37BC">
              <w:rPr>
                <w:rFonts w:eastAsiaTheme="minorHAnsi" w:cs="Times New Roman"/>
                <w:color w:val="000000"/>
                <w:kern w:val="0"/>
                <w:lang w:eastAsia="en-US" w:bidi="ar-SA"/>
              </w:rPr>
              <w:t xml:space="preserve">e </w:t>
            </w:r>
            <w:r w:rsidRPr="004A37BC">
              <w:rPr>
                <w:rFonts w:eastAsiaTheme="minorHAnsi" w:cs="Times New Roman"/>
                <w:i/>
                <w:iCs/>
                <w:color w:val="000000"/>
                <w:kern w:val="0"/>
                <w:lang w:eastAsia="en-US" w:bidi="ar-SA"/>
              </w:rPr>
              <w:t>X</w:t>
            </w:r>
            <w:r w:rsidRPr="004A37BC">
              <w:rPr>
                <w:rFonts w:eastAsiaTheme="minorHAnsi" w:cs="Times New Roman"/>
                <w:color w:val="000000"/>
                <w:kern w:val="0"/>
                <w:lang w:eastAsia="en-US" w:bidi="ar-SA"/>
              </w:rPr>
              <w:t xml:space="preserve"> = 0.01, </w:t>
            </w:r>
            <w:r w:rsidR="002B5F73">
              <w:rPr>
                <w:rFonts w:eastAsiaTheme="minorHAnsi" w:cs="Times New Roman"/>
                <w:color w:val="000000"/>
                <w:kern w:val="0"/>
                <w:lang w:eastAsia="en-US" w:bidi="ar-SA"/>
              </w:rPr>
              <w:t>which creates a conflict with Henry’s Law.</w:t>
            </w:r>
            <w:bookmarkStart w:id="56" w:name="question"/>
            <w:bookmarkEnd w:id="56"/>
          </w:p>
        </w:tc>
      </w:tr>
    </w:tbl>
    <w:p w14:paraId="19FBFB22" w14:textId="77777777" w:rsidR="000508B8" w:rsidRDefault="000508B8" w:rsidP="00543A53">
      <w:pPr>
        <w:pStyle w:val="NoSpacing"/>
      </w:pPr>
    </w:p>
    <w:p w14:paraId="72DE0B75" w14:textId="1FB6DB02" w:rsidR="000508B8" w:rsidRDefault="000E4AD8" w:rsidP="00543A53">
      <w:pPr>
        <w:pStyle w:val="NoSpacing"/>
      </w:pPr>
      <w:r>
        <w:t xml:space="preserve">As can be seen from </w:t>
      </w:r>
      <w:r>
        <w:rPr>
          <w:b/>
          <w:bCs/>
        </w:rPr>
        <w:t>T</w:t>
      </w:r>
      <w:r w:rsidRPr="001D7ABE">
        <w:rPr>
          <w:b/>
          <w:bCs/>
        </w:rPr>
        <w:t xml:space="preserve">able </w:t>
      </w:r>
      <w:r>
        <w:rPr>
          <w:b/>
          <w:bCs/>
        </w:rPr>
        <w:t>III</w:t>
      </w:r>
      <w:r>
        <w:t>, the results are</w:t>
      </w:r>
      <w:r w:rsidR="0095772B">
        <w:t>,</w:t>
      </w:r>
      <w:r>
        <w:t xml:space="preserve"> </w:t>
      </w:r>
      <w:r w:rsidR="0095772B">
        <w:t xml:space="preserve">in the main, </w:t>
      </w:r>
      <w:r>
        <w:t>much better</w:t>
      </w:r>
      <w:r w:rsidR="0095772B">
        <w:t xml:space="preserve"> and there is no negative “</w:t>
      </w:r>
      <w:r w:rsidR="0095772B">
        <w:rPr>
          <w:i/>
          <w:iCs/>
        </w:rPr>
        <w:t>C</w:t>
      </w:r>
      <w:r w:rsidR="0095772B">
        <w:t>” values</w:t>
      </w:r>
      <w:r>
        <w:t xml:space="preserve">.  At lower energies, which is </w:t>
      </w:r>
      <w:proofErr w:type="gramStart"/>
      <w:r>
        <w:rPr>
          <w:rFonts w:cs="Times New Roman"/>
        </w:rPr>
        <w:t>χ</w:t>
      </w:r>
      <w:r w:rsidRPr="00604F23">
        <w:rPr>
          <w:rFonts w:cs="Times New Roman"/>
          <w:vertAlign w:val="subscript"/>
        </w:rPr>
        <w:t>ς</w:t>
      </w:r>
      <w:r>
        <w:t xml:space="preserve">  </w:t>
      </w:r>
      <w:r w:rsidR="001C0BC2">
        <w:t>&lt;</w:t>
      </w:r>
      <w:proofErr w:type="gramEnd"/>
      <w:r>
        <w:t xml:space="preserve"> -1.53, this new criterion </w:t>
      </w:r>
      <w:r w:rsidR="0011496D">
        <w:t xml:space="preserve">begins to </w:t>
      </w:r>
      <w:r>
        <w:t>break down</w:t>
      </w:r>
      <w:r w:rsidR="0011496D">
        <w:t>.</w:t>
      </w:r>
      <w:r w:rsidR="004B02FE">
        <w:t xml:space="preserve">  Above </w:t>
      </w:r>
      <w:r w:rsidR="00BF4B9F">
        <w:t>-</w:t>
      </w:r>
      <w:r w:rsidR="00F00C10">
        <w:t>1.</w:t>
      </w:r>
      <w:r w:rsidR="004B02FE">
        <w:t xml:space="preserve">572… the fit introduces sporadic errors.  </w:t>
      </w:r>
    </w:p>
    <w:p w14:paraId="4B6A8BFA" w14:textId="5DF920C5" w:rsidR="000508B8" w:rsidRDefault="000508B8" w:rsidP="00543A53">
      <w:pPr>
        <w:pStyle w:val="NoSpacing"/>
      </w:pPr>
    </w:p>
    <w:p w14:paraId="5188D50E" w14:textId="77777777" w:rsidR="000C3733" w:rsidRPr="00981E49" w:rsidRDefault="000C3733" w:rsidP="00981E49">
      <w:pPr>
        <w:pStyle w:val="NoSpacing"/>
        <w:outlineLvl w:val="1"/>
        <w:rPr>
          <w:i/>
          <w:iCs/>
        </w:rPr>
      </w:pPr>
      <w:bookmarkStart w:id="57" w:name="_Toc171582148"/>
      <w:r w:rsidRPr="00981E49">
        <w:rPr>
          <w:rFonts w:cs="Times New Roman"/>
          <w:i/>
          <w:iCs/>
        </w:rPr>
        <w:t>Non-Linear Least Squares fit:</w:t>
      </w:r>
      <w:bookmarkEnd w:id="57"/>
      <w:r w:rsidR="00472E2D" w:rsidRPr="00981E49">
        <w:rPr>
          <w:rFonts w:cs="Times New Roman"/>
          <w:i/>
          <w:iCs/>
        </w:rPr>
        <w:t xml:space="preserve"> </w:t>
      </w:r>
    </w:p>
    <w:p w14:paraId="09624EC2" w14:textId="458EE276" w:rsidR="00553A7F" w:rsidRDefault="000508B8" w:rsidP="00543A53">
      <w:pPr>
        <w:pStyle w:val="NoSpacing"/>
        <w:rPr>
          <w:rFonts w:cs="Times New Roman"/>
        </w:rPr>
      </w:pPr>
      <w:r>
        <w:rPr>
          <w:rFonts w:cs="Times New Roman"/>
        </w:rPr>
        <w:t>Non-linear least squares fit (NLLS) to the BET is unusual.  There are some exceptions, noteworthy is that by Buttersack</w:t>
      </w:r>
      <w:r>
        <w:rPr>
          <w:rStyle w:val="EndnoteReference"/>
          <w:rFonts w:cs="Times New Roman"/>
        </w:rPr>
        <w:endnoteReference w:id="38"/>
      </w:r>
      <w:r>
        <w:rPr>
          <w:rFonts w:cs="Times New Roman"/>
        </w:rPr>
        <w:t xml:space="preserve"> who compared several </w:t>
      </w:r>
      <w:proofErr w:type="gramStart"/>
      <w:r>
        <w:rPr>
          <w:rFonts w:cs="Times New Roman"/>
        </w:rPr>
        <w:t>isotherm</w:t>
      </w:r>
      <w:proofErr w:type="gramEnd"/>
      <w:r>
        <w:rPr>
          <w:rFonts w:cs="Times New Roman"/>
        </w:rPr>
        <w:t xml:space="preserve"> fits in a statistical “bake-off.”  The traditional transform method was used to get around the problem of a non-linear fit in the early 20</w:t>
      </w:r>
      <w:r w:rsidRPr="00F1401D">
        <w:rPr>
          <w:rFonts w:cs="Times New Roman"/>
          <w:vertAlign w:val="superscript"/>
        </w:rPr>
        <w:t>th</w:t>
      </w:r>
      <w:r>
        <w:rPr>
          <w:rFonts w:cs="Times New Roman"/>
        </w:rPr>
        <w:t xml:space="preserve"> century.  However, NLLS is today quite simple with computers and proper program</w:t>
      </w:r>
      <w:r w:rsidR="00BF4B9F">
        <w:rPr>
          <w:rFonts w:cs="Times New Roman"/>
        </w:rPr>
        <w:t>s</w:t>
      </w:r>
      <w:r>
        <w:rPr>
          <w:rFonts w:cs="Times New Roman"/>
        </w:rPr>
        <w:t>.</w:t>
      </w:r>
    </w:p>
    <w:tbl>
      <w:tblPr>
        <w:tblStyle w:val="TableGrid"/>
        <w:tblW w:w="0" w:type="auto"/>
        <w:tblLook w:val="04A0" w:firstRow="1" w:lastRow="0" w:firstColumn="1" w:lastColumn="0" w:noHBand="0" w:noVBand="1"/>
      </w:tblPr>
      <w:tblGrid>
        <w:gridCol w:w="787"/>
        <w:gridCol w:w="1548"/>
        <w:gridCol w:w="1193"/>
        <w:gridCol w:w="877"/>
        <w:gridCol w:w="1079"/>
        <w:gridCol w:w="1083"/>
        <w:gridCol w:w="1349"/>
        <w:gridCol w:w="1434"/>
      </w:tblGrid>
      <w:tr w:rsidR="005B3CB4" w14:paraId="51D6E080" w14:textId="77777777" w:rsidTr="00E80D26">
        <w:trPr>
          <w:trHeight w:val="432"/>
        </w:trPr>
        <w:tc>
          <w:tcPr>
            <w:tcW w:w="9350" w:type="dxa"/>
            <w:gridSpan w:val="8"/>
          </w:tcPr>
          <w:p w14:paraId="1B7425B2" w14:textId="76086EF5" w:rsidR="005B3CB4" w:rsidRDefault="005B3CB4" w:rsidP="00981E49">
            <w:pPr>
              <w:pStyle w:val="NoSpacing"/>
              <w:outlineLvl w:val="1"/>
            </w:pPr>
            <w:r>
              <w:lastRenderedPageBreak/>
              <w:br w:type="page"/>
            </w:r>
            <w:bookmarkStart w:id="58" w:name="_Toc171582149"/>
            <w:r w:rsidRPr="003669BD">
              <w:rPr>
                <w:rFonts w:eastAsiaTheme="minorHAnsi" w:cs="Times New Roman"/>
                <w:b/>
                <w:bCs/>
                <w:color w:val="000000"/>
                <w:kern w:val="0"/>
                <w:lang w:eastAsia="en-US" w:bidi="ar-SA"/>
              </w:rPr>
              <w:t>Table I</w:t>
            </w:r>
            <w:r>
              <w:rPr>
                <w:rFonts w:eastAsiaTheme="minorHAnsi" w:cs="Times New Roman"/>
                <w:b/>
                <w:bCs/>
                <w:color w:val="000000"/>
                <w:kern w:val="0"/>
                <w:lang w:eastAsia="en-US" w:bidi="ar-SA"/>
              </w:rPr>
              <w:t>V</w:t>
            </w:r>
            <w:r w:rsidRPr="003669BD">
              <w:rPr>
                <w:rFonts w:eastAsiaTheme="minorHAnsi" w:cs="Times New Roman"/>
                <w:b/>
                <w:bCs/>
                <w:color w:val="000000"/>
                <w:kern w:val="0"/>
                <w:lang w:eastAsia="en-US" w:bidi="ar-SA"/>
              </w:rPr>
              <w:t>:</w:t>
            </w:r>
            <w:r>
              <w:rPr>
                <w:rFonts w:eastAsiaTheme="minorHAnsi" w:cs="Times New Roman"/>
                <w:color w:val="000000"/>
                <w:kern w:val="0"/>
                <w:lang w:eastAsia="en-US" w:bidi="ar-SA"/>
              </w:rPr>
              <w:t xml:space="preserve"> The ratio and relationship between χ monolayer equivalence and the BET monolayer equivalence.  The fitting uses a non-linear least-squares fit.  This also uses the “new” criterion, but lower limit </w:t>
            </w:r>
            <w:r w:rsidRPr="003862FF">
              <w:rPr>
                <w:rFonts w:eastAsiaTheme="minorHAnsi" w:cs="Times New Roman"/>
                <w:i/>
                <w:iCs/>
                <w:color w:val="000000"/>
                <w:kern w:val="0"/>
                <w:lang w:eastAsia="en-US" w:bidi="ar-SA"/>
              </w:rPr>
              <w:t>P</w:t>
            </w:r>
            <w:r w:rsidRPr="003862FF">
              <w:rPr>
                <w:rFonts w:eastAsiaTheme="minorHAnsi" w:cs="Times New Roman"/>
                <w:color w:val="000000"/>
                <w:kern w:val="0"/>
                <w:lang w:eastAsia="en-US" w:bidi="ar-SA"/>
              </w:rPr>
              <w:t>/</w:t>
            </w:r>
            <w:r w:rsidRPr="003862FF">
              <w:rPr>
                <w:rFonts w:eastAsiaTheme="minorHAnsi" w:cs="Times New Roman"/>
                <w:i/>
                <w:iCs/>
                <w:color w:val="000000"/>
                <w:kern w:val="0"/>
                <w:lang w:eastAsia="en-US" w:bidi="ar-SA"/>
              </w:rPr>
              <w:t>P</w:t>
            </w:r>
            <w:r w:rsidRPr="003862FF">
              <w:rPr>
                <w:rFonts w:eastAsiaTheme="minorHAnsi" w:cs="Times New Roman"/>
                <w:color w:val="000000"/>
                <w:kern w:val="0"/>
                <w:vertAlign w:val="subscript"/>
                <w:lang w:eastAsia="en-US" w:bidi="ar-SA"/>
              </w:rPr>
              <w:t>vap</w:t>
            </w:r>
            <w:r>
              <w:rPr>
                <w:rFonts w:eastAsiaTheme="minorHAnsi" w:cs="Times New Roman"/>
                <w:color w:val="000000"/>
                <w:kern w:val="0"/>
                <w:lang w:eastAsia="en-US" w:bidi="ar-SA"/>
              </w:rPr>
              <w:t xml:space="preserve"> = 0.01 or </w:t>
            </w:r>
            <w:r>
              <w:rPr>
                <w:rFonts w:eastAsiaTheme="minorHAnsi" w:cs="Times New Roman"/>
                <w:i/>
                <w:iCs/>
                <w:color w:val="000000"/>
                <w:kern w:val="0"/>
                <w:lang w:eastAsia="en-US" w:bidi="ar-SA"/>
              </w:rPr>
              <w:t>P = P</w:t>
            </w:r>
            <w:r w:rsidRPr="00BB2F23">
              <w:rPr>
                <w:rFonts w:eastAsiaTheme="minorHAnsi" w:cs="Times New Roman"/>
                <w:color w:val="000000"/>
                <w:kern w:val="0"/>
                <w:vertAlign w:val="subscript"/>
                <w:lang w:eastAsia="en-US" w:bidi="ar-SA"/>
              </w:rPr>
              <w:t>ς</w:t>
            </w:r>
            <w:r>
              <w:rPr>
                <w:rFonts w:eastAsiaTheme="minorHAnsi" w:cs="Times New Roman"/>
                <w:color w:val="000000"/>
                <w:kern w:val="0"/>
                <w:lang w:eastAsia="en-US" w:bidi="ar-SA"/>
              </w:rPr>
              <w:t>.</w:t>
            </w:r>
            <w:r w:rsidR="002B5F73">
              <w:rPr>
                <w:rFonts w:eastAsiaTheme="minorHAnsi" w:cs="Times New Roman"/>
                <w:color w:val="000000"/>
                <w:kern w:val="0"/>
                <w:lang w:eastAsia="en-US" w:bidi="ar-SA"/>
              </w:rPr>
              <w:t>, whichever is greater.</w:t>
            </w:r>
            <w:bookmarkEnd w:id="58"/>
          </w:p>
        </w:tc>
      </w:tr>
      <w:tr w:rsidR="005B3CB4" w14:paraId="786FD797" w14:textId="77777777" w:rsidTr="00D566BC">
        <w:tc>
          <w:tcPr>
            <w:tcW w:w="787" w:type="dxa"/>
          </w:tcPr>
          <w:p w14:paraId="3B6F693D" w14:textId="77777777" w:rsidR="005B3CB4" w:rsidRPr="00BC2316" w:rsidRDefault="005B3CB4" w:rsidP="00543A53">
            <w:pPr>
              <w:pStyle w:val="NoSpacing"/>
              <w:rPr>
                <w:rFonts w:eastAsiaTheme="minorHAnsi" w:cs="Times New Roman"/>
                <w:i/>
                <w:iCs/>
                <w:color w:val="000000"/>
                <w:kern w:val="0"/>
                <w:lang w:eastAsia="en-US" w:bidi="ar-SA"/>
              </w:rPr>
            </w:pPr>
            <w:r>
              <w:rPr>
                <w:rFonts w:eastAsiaTheme="minorHAnsi" w:cs="Times New Roman"/>
                <w:color w:val="000000"/>
                <w:kern w:val="0"/>
                <w:lang w:eastAsia="en-US" w:bidi="ar-SA"/>
              </w:rPr>
              <w:t>χ</w:t>
            </w:r>
            <w:r w:rsidRPr="00BC2316">
              <w:rPr>
                <w:rFonts w:eastAsiaTheme="minorHAnsi" w:cs="Times New Roman"/>
                <w:color w:val="000000"/>
                <w:kern w:val="0"/>
                <w:vertAlign w:val="subscript"/>
                <w:lang w:eastAsia="en-US" w:bidi="ar-SA"/>
              </w:rPr>
              <w:t>ς</w:t>
            </w:r>
            <w:r>
              <w:rPr>
                <w:rFonts w:eastAsiaTheme="minorHAnsi" w:cs="Times New Roman"/>
                <w:color w:val="000000"/>
                <w:kern w:val="0"/>
                <w:vertAlign w:val="subscript"/>
                <w:lang w:eastAsia="en-US" w:bidi="ar-SA"/>
              </w:rPr>
              <w:t xml:space="preserve"> </w:t>
            </w:r>
          </w:p>
        </w:tc>
        <w:tc>
          <w:tcPr>
            <w:tcW w:w="1548" w:type="dxa"/>
          </w:tcPr>
          <w:p w14:paraId="3C2521BA" w14:textId="77777777" w:rsidR="005B3CB4" w:rsidRDefault="005B3CB4" w:rsidP="00543A53">
            <w:pPr>
              <w:pStyle w:val="NoSpacing"/>
              <w:rPr>
                <w:rFonts w:eastAsiaTheme="minorHAnsi" w:cs="Times New Roman"/>
                <w:i/>
                <w:iCs/>
                <w:color w:val="000000"/>
                <w:kern w:val="0"/>
                <w:lang w:eastAsia="en-US" w:bidi="ar-SA"/>
              </w:rPr>
            </w:pPr>
            <w:r>
              <w:rPr>
                <w:rFonts w:eastAsiaTheme="minorHAnsi" w:cs="Times New Roman"/>
                <w:i/>
                <w:iCs/>
                <w:color w:val="000000"/>
                <w:kern w:val="0"/>
                <w:lang w:eastAsia="en-US" w:bidi="ar-SA"/>
              </w:rPr>
              <w:t>-</w:t>
            </w:r>
            <w:r>
              <w:rPr>
                <w:rFonts w:cs="Times New Roman"/>
                <w:iCs/>
              </w:rPr>
              <w:t xml:space="preserve"> </w:t>
            </w:r>
            <w:r w:rsidRPr="006A6A16">
              <w:rPr>
                <w:rFonts w:cs="Times New Roman"/>
                <w:i/>
              </w:rPr>
              <w:t>Ē</w:t>
            </w:r>
            <w:r>
              <w:rPr>
                <w:rFonts w:eastAsiaTheme="minorHAnsi" w:cs="Times New Roman"/>
                <w:color w:val="000000"/>
                <w:kern w:val="0"/>
                <w:vertAlign w:val="subscript"/>
                <w:lang w:eastAsia="en-US" w:bidi="ar-SA"/>
              </w:rPr>
              <w:t xml:space="preserve">a </w:t>
            </w:r>
            <w:r>
              <w:rPr>
                <w:rFonts w:eastAsiaTheme="minorHAnsi" w:cs="Times New Roman"/>
                <w:color w:val="000000"/>
                <w:kern w:val="0"/>
                <w:lang w:eastAsia="en-US" w:bidi="ar-SA"/>
              </w:rPr>
              <w:t>/kJ mol</w:t>
            </w:r>
            <w:r w:rsidRPr="00B1171E">
              <w:rPr>
                <w:rFonts w:eastAsiaTheme="minorHAnsi" w:cs="Times New Roman"/>
                <w:color w:val="000000"/>
                <w:kern w:val="0"/>
                <w:vertAlign w:val="superscript"/>
                <w:lang w:eastAsia="en-US" w:bidi="ar-SA"/>
              </w:rPr>
              <w:t>-1</w:t>
            </w:r>
          </w:p>
          <w:p w14:paraId="778BAADE" w14:textId="77777777" w:rsidR="005B3CB4" w:rsidRPr="00BC2316" w:rsidRDefault="005B3CB4" w:rsidP="00543A53">
            <w:pPr>
              <w:pStyle w:val="NoSpacing"/>
              <w:rPr>
                <w:rFonts w:eastAsiaTheme="minorHAnsi" w:cs="Times New Roman"/>
                <w:i/>
                <w:iCs/>
                <w:color w:val="000000"/>
                <w:kern w:val="0"/>
                <w:lang w:eastAsia="en-US" w:bidi="ar-SA"/>
              </w:rPr>
            </w:pPr>
            <w:r>
              <w:rPr>
                <w:rFonts w:eastAsiaTheme="minorHAnsi" w:cs="Times New Roman"/>
                <w:i/>
                <w:iCs/>
                <w:color w:val="000000"/>
                <w:kern w:val="0"/>
                <w:lang w:eastAsia="en-US" w:bidi="ar-SA"/>
              </w:rPr>
              <w:t>T=77.35 K</w:t>
            </w:r>
          </w:p>
        </w:tc>
        <w:tc>
          <w:tcPr>
            <w:tcW w:w="1193" w:type="dxa"/>
          </w:tcPr>
          <w:p w14:paraId="4426FFBC" w14:textId="77777777" w:rsidR="005B3CB4" w:rsidRPr="00BC2316" w:rsidRDefault="005B3CB4" w:rsidP="00543A53">
            <w:pPr>
              <w:pStyle w:val="NoSpacing"/>
              <w:rPr>
                <w:rFonts w:eastAsiaTheme="minorHAnsi" w:cs="Times New Roman"/>
                <w:color w:val="000000"/>
                <w:kern w:val="0"/>
                <w:lang w:eastAsia="en-US" w:bidi="ar-SA"/>
              </w:rPr>
            </w:pPr>
            <w:proofErr w:type="gramStart"/>
            <w:r w:rsidRPr="00D73C65">
              <w:rPr>
                <w:rFonts w:eastAsiaTheme="minorHAnsi" w:cs="Times New Roman"/>
                <w:i/>
                <w:iCs/>
                <w:color w:val="000000"/>
                <w:kern w:val="0"/>
                <w:u w:val="single"/>
                <w:lang w:eastAsia="en-US" w:bidi="ar-SA"/>
              </w:rPr>
              <w:t>n</w:t>
            </w:r>
            <w:r w:rsidRPr="00D73C65">
              <w:rPr>
                <w:rFonts w:eastAsiaTheme="minorHAnsi" w:cs="Times New Roman"/>
                <w:color w:val="000000"/>
                <w:kern w:val="0"/>
                <w:u w:val="single"/>
                <w:vertAlign w:val="subscript"/>
                <w:lang w:eastAsia="en-US" w:bidi="ar-SA"/>
              </w:rPr>
              <w:t>m</w:t>
            </w:r>
            <w:r w:rsidRPr="00D73C65">
              <w:rPr>
                <w:rFonts w:eastAsiaTheme="minorHAnsi" w:cs="Times New Roman"/>
                <w:color w:val="000000"/>
                <w:kern w:val="0"/>
                <w:u w:val="single"/>
                <w:lang w:eastAsia="en-US" w:bidi="ar-SA"/>
              </w:rPr>
              <w:t>(</w:t>
            </w:r>
            <w:proofErr w:type="gramEnd"/>
            <w:r w:rsidRPr="00D73C65">
              <w:rPr>
                <w:rFonts w:eastAsiaTheme="minorHAnsi" w:cs="Times New Roman"/>
                <w:color w:val="000000"/>
                <w:kern w:val="0"/>
                <w:u w:val="single"/>
                <w:lang w:eastAsia="en-US" w:bidi="ar-SA"/>
              </w:rPr>
              <w:t>BET</w:t>
            </w:r>
            <w:r>
              <w:rPr>
                <w:rFonts w:eastAsiaTheme="minorHAnsi" w:cs="Times New Roman"/>
                <w:color w:val="000000"/>
                <w:kern w:val="0"/>
                <w:u w:val="single"/>
                <w:lang w:eastAsia="en-US" w:bidi="ar-SA"/>
              </w:rPr>
              <w:t>).</w:t>
            </w:r>
            <w:r>
              <w:t xml:space="preserve"> </w:t>
            </w:r>
            <w:r>
              <w:rPr>
                <w:rFonts w:eastAsiaTheme="minorHAnsi" w:cs="Times New Roman"/>
                <w:color w:val="000000"/>
                <w:kern w:val="0"/>
                <w:u w:val="single"/>
                <w:lang w:eastAsia="en-US" w:bidi="ar-SA"/>
              </w:rPr>
              <w:t xml:space="preserve">  </w:t>
            </w:r>
            <w:r>
              <w:rPr>
                <w:rFonts w:eastAsiaTheme="minorHAnsi" w:cs="Times New Roman"/>
                <w:i/>
                <w:iCs/>
                <w:color w:val="000000"/>
                <w:kern w:val="0"/>
                <w:lang w:eastAsia="en-US" w:bidi="ar-SA"/>
              </w:rPr>
              <w:t xml:space="preserve"> n</w:t>
            </w:r>
            <w:r>
              <w:rPr>
                <w:rFonts w:eastAsiaTheme="minorHAnsi" w:cs="Times New Roman"/>
                <w:color w:val="000000"/>
                <w:kern w:val="0"/>
                <w:vertAlign w:val="subscript"/>
                <w:lang w:eastAsia="en-US" w:bidi="ar-SA"/>
              </w:rPr>
              <w:t>m</w:t>
            </w:r>
            <w:r>
              <w:rPr>
                <w:rFonts w:eastAsiaTheme="minorHAnsi" w:cs="Times New Roman"/>
                <w:color w:val="000000"/>
                <w:kern w:val="0"/>
                <w:lang w:eastAsia="en-US" w:bidi="ar-SA"/>
              </w:rPr>
              <w:t>(χ)</w:t>
            </w:r>
          </w:p>
        </w:tc>
        <w:tc>
          <w:tcPr>
            <w:tcW w:w="877" w:type="dxa"/>
          </w:tcPr>
          <w:p w14:paraId="272D9728" w14:textId="77777777" w:rsidR="005B3CB4" w:rsidRPr="00BC2316" w:rsidRDefault="005B3CB4" w:rsidP="00543A53">
            <w:pPr>
              <w:pStyle w:val="NoSpacing"/>
              <w:rPr>
                <w:rFonts w:eastAsiaTheme="minorHAnsi" w:cs="Times New Roman"/>
                <w:color w:val="000000"/>
                <w:kern w:val="0"/>
                <w:lang w:eastAsia="en-US" w:bidi="ar-SA"/>
              </w:rPr>
            </w:pPr>
            <w:r>
              <w:rPr>
                <w:rFonts w:eastAsiaTheme="minorHAnsi" w:cs="Times New Roman"/>
                <w:i/>
                <w:iCs/>
                <w:color w:val="000000"/>
                <w:kern w:val="0"/>
                <w:lang w:eastAsia="en-US" w:bidi="ar-SA"/>
              </w:rPr>
              <w:t>C</w:t>
            </w:r>
          </w:p>
        </w:tc>
        <w:tc>
          <w:tcPr>
            <w:tcW w:w="1079" w:type="dxa"/>
          </w:tcPr>
          <w:p w14:paraId="1B0C946D" w14:textId="77777777" w:rsidR="005B3CB4" w:rsidRPr="003862FF" w:rsidRDefault="00D566BC" w:rsidP="00543A53">
            <w:pPr>
              <w:pStyle w:val="NoSpacing"/>
              <w:rPr>
                <w:rFonts w:eastAsiaTheme="minorHAnsi" w:cs="Times New Roman"/>
                <w:b/>
                <w:bCs/>
                <w:color w:val="000000"/>
                <w:kern w:val="0"/>
                <w:lang w:eastAsia="en-US" w:bidi="ar-SA"/>
              </w:rPr>
            </w:pPr>
            <w:r>
              <w:rPr>
                <w:rFonts w:eastAsiaTheme="minorHAnsi" w:cs="Times New Roman"/>
                <w:color w:val="000000"/>
                <w:kern w:val="0"/>
                <w:lang w:eastAsia="en-US" w:bidi="ar-SA"/>
              </w:rPr>
              <w:t>σ of BET</w:t>
            </w:r>
          </w:p>
        </w:tc>
        <w:tc>
          <w:tcPr>
            <w:tcW w:w="1083" w:type="dxa"/>
          </w:tcPr>
          <w:p w14:paraId="4CA6EA98" w14:textId="77777777" w:rsidR="005B3CB4" w:rsidRPr="009B1C5E" w:rsidRDefault="00D566BC" w:rsidP="00543A53">
            <w:pPr>
              <w:pStyle w:val="NoSpacing"/>
              <w:rPr>
                <w:rFonts w:eastAsiaTheme="minorHAnsi" w:cs="Times New Roman"/>
                <w:color w:val="000000"/>
                <w:kern w:val="0"/>
                <w:lang w:eastAsia="en-US" w:bidi="ar-SA"/>
              </w:rPr>
            </w:pPr>
            <w:r w:rsidRPr="003862FF">
              <w:rPr>
                <w:rFonts w:eastAsiaTheme="minorHAnsi" w:cs="Times New Roman"/>
                <w:i/>
                <w:iCs/>
                <w:color w:val="000000"/>
                <w:kern w:val="0"/>
                <w:lang w:eastAsia="en-US" w:bidi="ar-SA"/>
              </w:rPr>
              <w:t>P</w:t>
            </w:r>
            <w:r>
              <w:rPr>
                <w:rFonts w:eastAsiaTheme="minorHAnsi" w:cs="Times New Roman"/>
                <w:color w:val="000000"/>
                <w:kern w:val="0"/>
                <w:vertAlign w:val="subscript"/>
                <w:lang w:eastAsia="en-US" w:bidi="ar-SA"/>
              </w:rPr>
              <w:t>max</w:t>
            </w:r>
            <w:r w:rsidRPr="003862FF">
              <w:rPr>
                <w:rFonts w:eastAsiaTheme="minorHAnsi" w:cs="Times New Roman"/>
                <w:color w:val="000000"/>
                <w:kern w:val="0"/>
                <w:lang w:eastAsia="en-US" w:bidi="ar-SA"/>
              </w:rPr>
              <w:t>/</w:t>
            </w:r>
            <w:r w:rsidRPr="003862FF">
              <w:rPr>
                <w:rFonts w:eastAsiaTheme="minorHAnsi" w:cs="Times New Roman"/>
                <w:i/>
                <w:iCs/>
                <w:color w:val="000000"/>
                <w:kern w:val="0"/>
                <w:lang w:eastAsia="en-US" w:bidi="ar-SA"/>
              </w:rPr>
              <w:t>P</w:t>
            </w:r>
            <w:r w:rsidRPr="003862FF">
              <w:rPr>
                <w:rFonts w:eastAsiaTheme="minorHAnsi" w:cs="Times New Roman"/>
                <w:color w:val="000000"/>
                <w:kern w:val="0"/>
                <w:vertAlign w:val="subscript"/>
                <w:lang w:eastAsia="en-US" w:bidi="ar-SA"/>
              </w:rPr>
              <w:t>vap</w:t>
            </w:r>
          </w:p>
        </w:tc>
        <w:tc>
          <w:tcPr>
            <w:tcW w:w="1349" w:type="dxa"/>
          </w:tcPr>
          <w:p w14:paraId="3A82B09F" w14:textId="77777777" w:rsidR="005B3CB4" w:rsidRDefault="005B3CB4" w:rsidP="00543A53">
            <w:pPr>
              <w:pStyle w:val="NoSpacing"/>
              <w:rPr>
                <w:rFonts w:eastAsiaTheme="minorHAnsi" w:cs="Times New Roman"/>
                <w:color w:val="000000"/>
                <w:kern w:val="0"/>
                <w:lang w:eastAsia="en-US" w:bidi="ar-SA"/>
              </w:rPr>
            </w:pPr>
            <w:r>
              <w:rPr>
                <w:rFonts w:eastAsiaTheme="minorHAnsi" w:cs="Times New Roman"/>
                <w:color w:val="000000"/>
                <w:kern w:val="0"/>
                <w:lang w:eastAsia="en-US" w:bidi="ar-SA"/>
              </w:rPr>
              <w:t>σ of BET</w:t>
            </w:r>
          </w:p>
          <w:p w14:paraId="42BE90B7" w14:textId="77777777" w:rsidR="005B3CB4" w:rsidRPr="00951DA0" w:rsidRDefault="005B3CB4" w:rsidP="00543A53">
            <w:pPr>
              <w:pStyle w:val="NoSpacing"/>
              <w:rPr>
                <w:rFonts w:eastAsiaTheme="minorHAnsi" w:cs="Times New Roman"/>
                <w:color w:val="000000"/>
                <w:kern w:val="0"/>
                <w:lang w:eastAsia="en-US" w:bidi="ar-SA"/>
              </w:rPr>
            </w:pPr>
            <w:r>
              <w:rPr>
                <w:rFonts w:eastAsiaTheme="minorHAnsi" w:cs="Times New Roman"/>
                <w:color w:val="000000"/>
                <w:kern w:val="0"/>
                <w:lang w:eastAsia="en-US" w:bidi="ar-SA"/>
              </w:rPr>
              <w:t>% of range</w:t>
            </w:r>
          </w:p>
        </w:tc>
        <w:tc>
          <w:tcPr>
            <w:tcW w:w="1434" w:type="dxa"/>
          </w:tcPr>
          <w:p w14:paraId="23C284DD" w14:textId="77777777" w:rsidR="005B3CB4" w:rsidRDefault="00A1567E" w:rsidP="00543A53">
            <w:pPr>
              <w:pStyle w:val="NoSpacing"/>
              <w:rPr>
                <w:rFonts w:eastAsiaTheme="minorHAnsi" w:cs="Times New Roman"/>
                <w:color w:val="000000"/>
                <w:kern w:val="0"/>
                <w:lang w:eastAsia="en-US" w:bidi="ar-SA"/>
              </w:rPr>
            </w:pPr>
            <w:proofErr w:type="spellStart"/>
            <w:r>
              <w:rPr>
                <w:rFonts w:eastAsiaTheme="minorHAnsi" w:cs="Times New Roman"/>
                <w:i/>
                <w:iCs/>
                <w:color w:val="000000"/>
                <w:kern w:val="0"/>
                <w:lang w:eastAsia="en-US" w:bidi="ar-SA"/>
              </w:rPr>
              <w:t>X</w:t>
            </w:r>
            <w:r>
              <w:rPr>
                <w:rFonts w:eastAsiaTheme="minorHAnsi" w:cs="Times New Roman"/>
                <w:color w:val="000000"/>
                <w:kern w:val="0"/>
                <w:vertAlign w:val="subscript"/>
                <w:lang w:eastAsia="en-US" w:bidi="ar-SA"/>
              </w:rPr>
              <w:t>high</w:t>
            </w:r>
            <w:proofErr w:type="spellEnd"/>
            <w:r>
              <w:rPr>
                <w:rFonts w:eastAsiaTheme="minorHAnsi" w:cs="Times New Roman"/>
                <w:color w:val="000000"/>
                <w:kern w:val="0"/>
                <w:lang w:eastAsia="en-US" w:bidi="ar-SA"/>
              </w:rPr>
              <w:t xml:space="preserve"> of new criterion</w:t>
            </w:r>
          </w:p>
        </w:tc>
      </w:tr>
      <w:tr w:rsidR="005B3CB4" w14:paraId="6B77D665" w14:textId="77777777" w:rsidTr="00D566BC">
        <w:tc>
          <w:tcPr>
            <w:tcW w:w="787" w:type="dxa"/>
          </w:tcPr>
          <w:p w14:paraId="75AEBCBB"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-4.0</w:t>
            </w:r>
          </w:p>
        </w:tc>
        <w:tc>
          <w:tcPr>
            <w:tcW w:w="1548" w:type="dxa"/>
          </w:tcPr>
          <w:p w14:paraId="4B8B3BF5"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35.41</w:t>
            </w:r>
          </w:p>
        </w:tc>
        <w:tc>
          <w:tcPr>
            <w:tcW w:w="1193" w:type="dxa"/>
          </w:tcPr>
          <w:p w14:paraId="378800BE"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2.883</w:t>
            </w:r>
          </w:p>
        </w:tc>
        <w:tc>
          <w:tcPr>
            <w:tcW w:w="877" w:type="dxa"/>
          </w:tcPr>
          <w:p w14:paraId="77915196"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467.4</w:t>
            </w:r>
          </w:p>
        </w:tc>
        <w:tc>
          <w:tcPr>
            <w:tcW w:w="1079" w:type="dxa"/>
          </w:tcPr>
          <w:p w14:paraId="1CF3DC28"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0.027</w:t>
            </w:r>
          </w:p>
        </w:tc>
        <w:tc>
          <w:tcPr>
            <w:tcW w:w="1083" w:type="dxa"/>
          </w:tcPr>
          <w:p w14:paraId="5251BD54"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0.0103</w:t>
            </w:r>
          </w:p>
        </w:tc>
        <w:tc>
          <w:tcPr>
            <w:tcW w:w="1349" w:type="dxa"/>
          </w:tcPr>
          <w:p w14:paraId="24D90E58"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3.4%</w:t>
            </w:r>
          </w:p>
        </w:tc>
        <w:tc>
          <w:tcPr>
            <w:tcW w:w="1434" w:type="dxa"/>
          </w:tcPr>
          <w:p w14:paraId="3607FCBE"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0.128</w:t>
            </w:r>
          </w:p>
        </w:tc>
      </w:tr>
      <w:tr w:rsidR="005B3CB4" w14:paraId="10E45DBA" w14:textId="77777777" w:rsidTr="00D566BC">
        <w:tc>
          <w:tcPr>
            <w:tcW w:w="787" w:type="dxa"/>
          </w:tcPr>
          <w:p w14:paraId="6F68C491"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-3.9</w:t>
            </w:r>
          </w:p>
        </w:tc>
        <w:tc>
          <w:tcPr>
            <w:tcW w:w="1548" w:type="dxa"/>
          </w:tcPr>
          <w:p w14:paraId="2149F3D3"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32.04</w:t>
            </w:r>
          </w:p>
        </w:tc>
        <w:tc>
          <w:tcPr>
            <w:tcW w:w="1193" w:type="dxa"/>
          </w:tcPr>
          <w:p w14:paraId="2D1BB6F3"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2.803</w:t>
            </w:r>
          </w:p>
        </w:tc>
        <w:tc>
          <w:tcPr>
            <w:tcW w:w="877" w:type="dxa"/>
          </w:tcPr>
          <w:p w14:paraId="1B466531"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408.3</w:t>
            </w:r>
          </w:p>
        </w:tc>
        <w:tc>
          <w:tcPr>
            <w:tcW w:w="1079" w:type="dxa"/>
          </w:tcPr>
          <w:p w14:paraId="76A4C544"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0.024</w:t>
            </w:r>
          </w:p>
        </w:tc>
        <w:tc>
          <w:tcPr>
            <w:tcW w:w="1083" w:type="dxa"/>
          </w:tcPr>
          <w:p w14:paraId="2A30B1F3"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0.0140</w:t>
            </w:r>
          </w:p>
        </w:tc>
        <w:tc>
          <w:tcPr>
            <w:tcW w:w="1349" w:type="dxa"/>
          </w:tcPr>
          <w:p w14:paraId="29276EA7"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3.1%</w:t>
            </w:r>
          </w:p>
        </w:tc>
        <w:tc>
          <w:tcPr>
            <w:tcW w:w="1434" w:type="dxa"/>
          </w:tcPr>
          <w:p w14:paraId="68CCB90F"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0.133</w:t>
            </w:r>
          </w:p>
        </w:tc>
      </w:tr>
      <w:tr w:rsidR="005B3CB4" w14:paraId="53E77E22" w14:textId="77777777" w:rsidTr="00D566BC">
        <w:tc>
          <w:tcPr>
            <w:tcW w:w="787" w:type="dxa"/>
          </w:tcPr>
          <w:p w14:paraId="23EC63EA"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-3.8</w:t>
            </w:r>
          </w:p>
        </w:tc>
        <w:tc>
          <w:tcPr>
            <w:tcW w:w="1548" w:type="dxa"/>
          </w:tcPr>
          <w:p w14:paraId="3EC1DC74"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28.99</w:t>
            </w:r>
          </w:p>
        </w:tc>
        <w:tc>
          <w:tcPr>
            <w:tcW w:w="1193" w:type="dxa"/>
          </w:tcPr>
          <w:p w14:paraId="2E331CD1"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2.713</w:t>
            </w:r>
          </w:p>
        </w:tc>
        <w:tc>
          <w:tcPr>
            <w:tcW w:w="877" w:type="dxa"/>
          </w:tcPr>
          <w:p w14:paraId="79E54D1F"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385.2</w:t>
            </w:r>
          </w:p>
        </w:tc>
        <w:tc>
          <w:tcPr>
            <w:tcW w:w="1079" w:type="dxa"/>
          </w:tcPr>
          <w:p w14:paraId="6CCC9E3D"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0.027</w:t>
            </w:r>
          </w:p>
        </w:tc>
        <w:tc>
          <w:tcPr>
            <w:tcW w:w="1083" w:type="dxa"/>
          </w:tcPr>
          <w:p w14:paraId="00DF6D4B"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0.1389</w:t>
            </w:r>
          </w:p>
        </w:tc>
        <w:tc>
          <w:tcPr>
            <w:tcW w:w="1349" w:type="dxa"/>
          </w:tcPr>
          <w:p w14:paraId="167095B7"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3.2%</w:t>
            </w:r>
          </w:p>
        </w:tc>
        <w:tc>
          <w:tcPr>
            <w:tcW w:w="1434" w:type="dxa"/>
          </w:tcPr>
          <w:p w14:paraId="782C3B2F"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0.139</w:t>
            </w:r>
          </w:p>
        </w:tc>
      </w:tr>
      <w:tr w:rsidR="005B3CB4" w14:paraId="07DD2B78" w14:textId="77777777" w:rsidTr="00D566BC">
        <w:tc>
          <w:tcPr>
            <w:tcW w:w="787" w:type="dxa"/>
          </w:tcPr>
          <w:p w14:paraId="72DED0EA"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-3.7</w:t>
            </w:r>
          </w:p>
        </w:tc>
        <w:tc>
          <w:tcPr>
            <w:tcW w:w="1548" w:type="dxa"/>
          </w:tcPr>
          <w:p w14:paraId="690196CB"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26.23</w:t>
            </w:r>
          </w:p>
        </w:tc>
        <w:tc>
          <w:tcPr>
            <w:tcW w:w="1193" w:type="dxa"/>
          </w:tcPr>
          <w:p w14:paraId="7D02D843"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2.625</w:t>
            </w:r>
          </w:p>
        </w:tc>
        <w:tc>
          <w:tcPr>
            <w:tcW w:w="877" w:type="dxa"/>
          </w:tcPr>
          <w:p w14:paraId="712F7F78"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360.9</w:t>
            </w:r>
          </w:p>
        </w:tc>
        <w:tc>
          <w:tcPr>
            <w:tcW w:w="1079" w:type="dxa"/>
          </w:tcPr>
          <w:p w14:paraId="463A059F"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0.029</w:t>
            </w:r>
          </w:p>
        </w:tc>
        <w:tc>
          <w:tcPr>
            <w:tcW w:w="1083" w:type="dxa"/>
          </w:tcPr>
          <w:p w14:paraId="3AF6754F"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0.1449</w:t>
            </w:r>
          </w:p>
        </w:tc>
        <w:tc>
          <w:tcPr>
            <w:tcW w:w="1349" w:type="dxa"/>
          </w:tcPr>
          <w:p w14:paraId="1BFF3BA8"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3.4%</w:t>
            </w:r>
          </w:p>
        </w:tc>
        <w:tc>
          <w:tcPr>
            <w:tcW w:w="1434" w:type="dxa"/>
          </w:tcPr>
          <w:p w14:paraId="29A05B59"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0.145</w:t>
            </w:r>
          </w:p>
        </w:tc>
      </w:tr>
      <w:tr w:rsidR="005B3CB4" w14:paraId="6FBD3C20" w14:textId="77777777" w:rsidTr="00D566BC">
        <w:tc>
          <w:tcPr>
            <w:tcW w:w="787" w:type="dxa"/>
          </w:tcPr>
          <w:p w14:paraId="4AD94EAB"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-3.6</w:t>
            </w:r>
          </w:p>
        </w:tc>
        <w:tc>
          <w:tcPr>
            <w:tcW w:w="1548" w:type="dxa"/>
          </w:tcPr>
          <w:p w14:paraId="0DABD92E"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23.73</w:t>
            </w:r>
          </w:p>
        </w:tc>
        <w:tc>
          <w:tcPr>
            <w:tcW w:w="1193" w:type="dxa"/>
          </w:tcPr>
          <w:p w14:paraId="14B77223"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2.538</w:t>
            </w:r>
          </w:p>
        </w:tc>
        <w:tc>
          <w:tcPr>
            <w:tcW w:w="877" w:type="dxa"/>
          </w:tcPr>
          <w:p w14:paraId="5CA25393"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335.7</w:t>
            </w:r>
          </w:p>
        </w:tc>
        <w:tc>
          <w:tcPr>
            <w:tcW w:w="1079" w:type="dxa"/>
          </w:tcPr>
          <w:p w14:paraId="5A6D0458"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0.031</w:t>
            </w:r>
          </w:p>
        </w:tc>
        <w:tc>
          <w:tcPr>
            <w:tcW w:w="1083" w:type="dxa"/>
          </w:tcPr>
          <w:p w14:paraId="234C8AEC"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0.1512</w:t>
            </w:r>
          </w:p>
        </w:tc>
        <w:tc>
          <w:tcPr>
            <w:tcW w:w="1349" w:type="dxa"/>
          </w:tcPr>
          <w:p w14:paraId="4A7A493D"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3.5%</w:t>
            </w:r>
          </w:p>
        </w:tc>
        <w:tc>
          <w:tcPr>
            <w:tcW w:w="1434" w:type="dxa"/>
          </w:tcPr>
          <w:p w14:paraId="50588A44"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0.151</w:t>
            </w:r>
          </w:p>
        </w:tc>
      </w:tr>
      <w:tr w:rsidR="005B3CB4" w14:paraId="0DDE195B" w14:textId="77777777" w:rsidTr="00D566BC">
        <w:tc>
          <w:tcPr>
            <w:tcW w:w="787" w:type="dxa"/>
          </w:tcPr>
          <w:p w14:paraId="49B88745"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-3.5</w:t>
            </w:r>
          </w:p>
        </w:tc>
        <w:tc>
          <w:tcPr>
            <w:tcW w:w="1548" w:type="dxa"/>
          </w:tcPr>
          <w:p w14:paraId="472A2E6B"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21.48</w:t>
            </w:r>
          </w:p>
        </w:tc>
        <w:tc>
          <w:tcPr>
            <w:tcW w:w="1193" w:type="dxa"/>
          </w:tcPr>
          <w:p w14:paraId="38439C3C"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2.452</w:t>
            </w:r>
          </w:p>
        </w:tc>
        <w:tc>
          <w:tcPr>
            <w:tcW w:w="877" w:type="dxa"/>
          </w:tcPr>
          <w:p w14:paraId="14CD69B7"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309.9</w:t>
            </w:r>
          </w:p>
        </w:tc>
        <w:tc>
          <w:tcPr>
            <w:tcW w:w="1079" w:type="dxa"/>
          </w:tcPr>
          <w:p w14:paraId="275D42A3"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0.033</w:t>
            </w:r>
          </w:p>
        </w:tc>
        <w:tc>
          <w:tcPr>
            <w:tcW w:w="1083" w:type="dxa"/>
          </w:tcPr>
          <w:p w14:paraId="3FD220AF"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0.1580</w:t>
            </w:r>
          </w:p>
        </w:tc>
        <w:tc>
          <w:tcPr>
            <w:tcW w:w="1349" w:type="dxa"/>
          </w:tcPr>
          <w:p w14:paraId="7B3CBFA0"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3.6%</w:t>
            </w:r>
          </w:p>
        </w:tc>
        <w:tc>
          <w:tcPr>
            <w:tcW w:w="1434" w:type="dxa"/>
          </w:tcPr>
          <w:p w14:paraId="64904619"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0.158</w:t>
            </w:r>
          </w:p>
        </w:tc>
      </w:tr>
      <w:tr w:rsidR="005B3CB4" w14:paraId="25AA08D3" w14:textId="77777777" w:rsidTr="00D566BC">
        <w:tc>
          <w:tcPr>
            <w:tcW w:w="787" w:type="dxa"/>
          </w:tcPr>
          <w:p w14:paraId="1C7F7D98"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-3.4</w:t>
            </w:r>
          </w:p>
        </w:tc>
        <w:tc>
          <w:tcPr>
            <w:tcW w:w="1548" w:type="dxa"/>
          </w:tcPr>
          <w:p w14:paraId="6201F946"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19.43</w:t>
            </w:r>
          </w:p>
        </w:tc>
        <w:tc>
          <w:tcPr>
            <w:tcW w:w="1193" w:type="dxa"/>
          </w:tcPr>
          <w:p w14:paraId="00C4D018"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2.367</w:t>
            </w:r>
          </w:p>
        </w:tc>
        <w:tc>
          <w:tcPr>
            <w:tcW w:w="877" w:type="dxa"/>
          </w:tcPr>
          <w:p w14:paraId="196FDE25"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283.8</w:t>
            </w:r>
          </w:p>
        </w:tc>
        <w:tc>
          <w:tcPr>
            <w:tcW w:w="1079" w:type="dxa"/>
          </w:tcPr>
          <w:p w14:paraId="73A9F879"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0.034</w:t>
            </w:r>
          </w:p>
        </w:tc>
        <w:tc>
          <w:tcPr>
            <w:tcW w:w="1083" w:type="dxa"/>
          </w:tcPr>
          <w:p w14:paraId="5AAE26CA"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0.1652</w:t>
            </w:r>
          </w:p>
        </w:tc>
        <w:tc>
          <w:tcPr>
            <w:tcW w:w="1349" w:type="dxa"/>
          </w:tcPr>
          <w:p w14:paraId="6612FA1C"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3.7%</w:t>
            </w:r>
          </w:p>
        </w:tc>
        <w:tc>
          <w:tcPr>
            <w:tcW w:w="1434" w:type="dxa"/>
          </w:tcPr>
          <w:p w14:paraId="0111DF24"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0.165</w:t>
            </w:r>
          </w:p>
        </w:tc>
      </w:tr>
      <w:tr w:rsidR="005B3CB4" w14:paraId="219DA3B3" w14:textId="77777777" w:rsidTr="00D566BC">
        <w:tc>
          <w:tcPr>
            <w:tcW w:w="787" w:type="dxa"/>
          </w:tcPr>
          <w:p w14:paraId="07214898"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-3.3</w:t>
            </w:r>
          </w:p>
        </w:tc>
        <w:tc>
          <w:tcPr>
            <w:tcW w:w="1548" w:type="dxa"/>
          </w:tcPr>
          <w:p w14:paraId="22EAA834"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17.58</w:t>
            </w:r>
          </w:p>
        </w:tc>
        <w:tc>
          <w:tcPr>
            <w:tcW w:w="1193" w:type="dxa"/>
          </w:tcPr>
          <w:p w14:paraId="1F439ED5"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2.283</w:t>
            </w:r>
          </w:p>
        </w:tc>
        <w:tc>
          <w:tcPr>
            <w:tcW w:w="877" w:type="dxa"/>
          </w:tcPr>
          <w:p w14:paraId="00311B99"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257.8</w:t>
            </w:r>
          </w:p>
        </w:tc>
        <w:tc>
          <w:tcPr>
            <w:tcW w:w="1079" w:type="dxa"/>
          </w:tcPr>
          <w:p w14:paraId="76FC7FFA"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0.036</w:t>
            </w:r>
          </w:p>
        </w:tc>
        <w:tc>
          <w:tcPr>
            <w:tcW w:w="1083" w:type="dxa"/>
          </w:tcPr>
          <w:p w14:paraId="4FC695A4"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0.1729</w:t>
            </w:r>
          </w:p>
        </w:tc>
        <w:tc>
          <w:tcPr>
            <w:tcW w:w="1349" w:type="dxa"/>
          </w:tcPr>
          <w:p w14:paraId="10678FEB"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3.8%</w:t>
            </w:r>
          </w:p>
        </w:tc>
        <w:tc>
          <w:tcPr>
            <w:tcW w:w="1434" w:type="dxa"/>
          </w:tcPr>
          <w:p w14:paraId="7008EDF4"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0.173</w:t>
            </w:r>
          </w:p>
        </w:tc>
      </w:tr>
      <w:tr w:rsidR="005B3CB4" w14:paraId="172FE9F6" w14:textId="77777777" w:rsidTr="00D566BC">
        <w:tc>
          <w:tcPr>
            <w:tcW w:w="787" w:type="dxa"/>
          </w:tcPr>
          <w:p w14:paraId="379DDFD2"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-3.2</w:t>
            </w:r>
          </w:p>
        </w:tc>
        <w:tc>
          <w:tcPr>
            <w:tcW w:w="1548" w:type="dxa"/>
          </w:tcPr>
          <w:p w14:paraId="3EA0544E"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15.91</w:t>
            </w:r>
          </w:p>
        </w:tc>
        <w:tc>
          <w:tcPr>
            <w:tcW w:w="1193" w:type="dxa"/>
          </w:tcPr>
          <w:p w14:paraId="27CF0616"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2.201</w:t>
            </w:r>
          </w:p>
        </w:tc>
        <w:tc>
          <w:tcPr>
            <w:tcW w:w="877" w:type="dxa"/>
          </w:tcPr>
          <w:p w14:paraId="4C2933FC"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232.2</w:t>
            </w:r>
          </w:p>
        </w:tc>
        <w:tc>
          <w:tcPr>
            <w:tcW w:w="1079" w:type="dxa"/>
          </w:tcPr>
          <w:p w14:paraId="63BC3B03"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0.037</w:t>
            </w:r>
          </w:p>
        </w:tc>
        <w:tc>
          <w:tcPr>
            <w:tcW w:w="1083" w:type="dxa"/>
          </w:tcPr>
          <w:p w14:paraId="4730D495"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0.1810</w:t>
            </w:r>
          </w:p>
        </w:tc>
        <w:tc>
          <w:tcPr>
            <w:tcW w:w="1349" w:type="dxa"/>
          </w:tcPr>
          <w:p w14:paraId="37582096"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3.8%</w:t>
            </w:r>
          </w:p>
        </w:tc>
        <w:tc>
          <w:tcPr>
            <w:tcW w:w="1434" w:type="dxa"/>
          </w:tcPr>
          <w:p w14:paraId="4AE6E6C5"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0.181</w:t>
            </w:r>
          </w:p>
        </w:tc>
      </w:tr>
      <w:tr w:rsidR="005B3CB4" w14:paraId="6D7A0254" w14:textId="77777777" w:rsidTr="00D566BC">
        <w:tc>
          <w:tcPr>
            <w:tcW w:w="787" w:type="dxa"/>
          </w:tcPr>
          <w:p w14:paraId="242F4667"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-3.1</w:t>
            </w:r>
          </w:p>
        </w:tc>
        <w:tc>
          <w:tcPr>
            <w:tcW w:w="1548" w:type="dxa"/>
          </w:tcPr>
          <w:p w14:paraId="44ACB48F"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14.40</w:t>
            </w:r>
          </w:p>
        </w:tc>
        <w:tc>
          <w:tcPr>
            <w:tcW w:w="1193" w:type="dxa"/>
          </w:tcPr>
          <w:p w14:paraId="3097B54E"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2.120</w:t>
            </w:r>
          </w:p>
        </w:tc>
        <w:tc>
          <w:tcPr>
            <w:tcW w:w="877" w:type="dxa"/>
          </w:tcPr>
          <w:p w14:paraId="471345A1"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207.3</w:t>
            </w:r>
          </w:p>
        </w:tc>
        <w:tc>
          <w:tcPr>
            <w:tcW w:w="1079" w:type="dxa"/>
          </w:tcPr>
          <w:p w14:paraId="49631897"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0.037</w:t>
            </w:r>
          </w:p>
        </w:tc>
        <w:tc>
          <w:tcPr>
            <w:tcW w:w="1083" w:type="dxa"/>
          </w:tcPr>
          <w:p w14:paraId="79B3304B"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0.1896</w:t>
            </w:r>
          </w:p>
        </w:tc>
        <w:tc>
          <w:tcPr>
            <w:tcW w:w="1349" w:type="dxa"/>
          </w:tcPr>
          <w:p w14:paraId="6A50AC79"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3.7%</w:t>
            </w:r>
          </w:p>
        </w:tc>
        <w:tc>
          <w:tcPr>
            <w:tcW w:w="1434" w:type="dxa"/>
          </w:tcPr>
          <w:p w14:paraId="33F58848"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0.190</w:t>
            </w:r>
          </w:p>
        </w:tc>
      </w:tr>
      <w:tr w:rsidR="005B3CB4" w14:paraId="52B362DE" w14:textId="77777777" w:rsidTr="00D566BC">
        <w:tc>
          <w:tcPr>
            <w:tcW w:w="787" w:type="dxa"/>
          </w:tcPr>
          <w:p w14:paraId="7CB837FD"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-3.0</w:t>
            </w:r>
          </w:p>
        </w:tc>
        <w:tc>
          <w:tcPr>
            <w:tcW w:w="1548" w:type="dxa"/>
          </w:tcPr>
          <w:p w14:paraId="4248DF45"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13.03</w:t>
            </w:r>
          </w:p>
        </w:tc>
        <w:tc>
          <w:tcPr>
            <w:tcW w:w="1193" w:type="dxa"/>
          </w:tcPr>
          <w:p w14:paraId="00AA2560"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2.041</w:t>
            </w:r>
          </w:p>
        </w:tc>
        <w:tc>
          <w:tcPr>
            <w:tcW w:w="877" w:type="dxa"/>
          </w:tcPr>
          <w:p w14:paraId="1A68760C"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183.5</w:t>
            </w:r>
          </w:p>
        </w:tc>
        <w:tc>
          <w:tcPr>
            <w:tcW w:w="1079" w:type="dxa"/>
          </w:tcPr>
          <w:p w14:paraId="3485573E"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0.037</w:t>
            </w:r>
          </w:p>
        </w:tc>
        <w:tc>
          <w:tcPr>
            <w:tcW w:w="1083" w:type="dxa"/>
          </w:tcPr>
          <w:p w14:paraId="7A70C34B"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0.1987</w:t>
            </w:r>
          </w:p>
        </w:tc>
        <w:tc>
          <w:tcPr>
            <w:tcW w:w="1349" w:type="dxa"/>
          </w:tcPr>
          <w:p w14:paraId="53010DAB"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3.7%</w:t>
            </w:r>
          </w:p>
        </w:tc>
        <w:tc>
          <w:tcPr>
            <w:tcW w:w="1434" w:type="dxa"/>
          </w:tcPr>
          <w:p w14:paraId="6A762D43"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0.199</w:t>
            </w:r>
          </w:p>
        </w:tc>
      </w:tr>
      <w:tr w:rsidR="005B3CB4" w14:paraId="324F4745" w14:textId="77777777" w:rsidTr="00D566BC">
        <w:tc>
          <w:tcPr>
            <w:tcW w:w="787" w:type="dxa"/>
          </w:tcPr>
          <w:p w14:paraId="46E4BE55"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-2.9</w:t>
            </w:r>
          </w:p>
        </w:tc>
        <w:tc>
          <w:tcPr>
            <w:tcW w:w="1548" w:type="dxa"/>
          </w:tcPr>
          <w:p w14:paraId="50669AFE"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11.79</w:t>
            </w:r>
          </w:p>
        </w:tc>
        <w:tc>
          <w:tcPr>
            <w:tcW w:w="1193" w:type="dxa"/>
          </w:tcPr>
          <w:p w14:paraId="0B54F37E"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1.955</w:t>
            </w:r>
          </w:p>
        </w:tc>
        <w:tc>
          <w:tcPr>
            <w:tcW w:w="877" w:type="dxa"/>
          </w:tcPr>
          <w:p w14:paraId="550DEDDB"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172.0</w:t>
            </w:r>
          </w:p>
        </w:tc>
        <w:tc>
          <w:tcPr>
            <w:tcW w:w="1079" w:type="dxa"/>
          </w:tcPr>
          <w:p w14:paraId="126AD689"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0.043</w:t>
            </w:r>
          </w:p>
        </w:tc>
        <w:tc>
          <w:tcPr>
            <w:tcW w:w="1083" w:type="dxa"/>
          </w:tcPr>
          <w:p w14:paraId="27B4EF6E"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0.2082</w:t>
            </w:r>
          </w:p>
        </w:tc>
        <w:tc>
          <w:tcPr>
            <w:tcW w:w="1349" w:type="dxa"/>
          </w:tcPr>
          <w:p w14:paraId="63522880"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4.0%</w:t>
            </w:r>
          </w:p>
        </w:tc>
        <w:tc>
          <w:tcPr>
            <w:tcW w:w="1434" w:type="dxa"/>
          </w:tcPr>
          <w:p w14:paraId="61E892A9"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0.208</w:t>
            </w:r>
          </w:p>
        </w:tc>
      </w:tr>
      <w:tr w:rsidR="005B3CB4" w14:paraId="69E8DAB5" w14:textId="77777777" w:rsidTr="00D566BC">
        <w:tc>
          <w:tcPr>
            <w:tcW w:w="787" w:type="dxa"/>
          </w:tcPr>
          <w:p w14:paraId="266DEECB"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-2.8</w:t>
            </w:r>
          </w:p>
        </w:tc>
        <w:tc>
          <w:tcPr>
            <w:tcW w:w="1548" w:type="dxa"/>
          </w:tcPr>
          <w:p w14:paraId="626EBB95"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10.66</w:t>
            </w:r>
          </w:p>
        </w:tc>
        <w:tc>
          <w:tcPr>
            <w:tcW w:w="1193" w:type="dxa"/>
          </w:tcPr>
          <w:p w14:paraId="4D1F3B2A"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1.880</w:t>
            </w:r>
          </w:p>
        </w:tc>
        <w:tc>
          <w:tcPr>
            <w:tcW w:w="877" w:type="dxa"/>
          </w:tcPr>
          <w:p w14:paraId="422D93A6"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149.0</w:t>
            </w:r>
          </w:p>
        </w:tc>
        <w:tc>
          <w:tcPr>
            <w:tcW w:w="1079" w:type="dxa"/>
          </w:tcPr>
          <w:p w14:paraId="69861587"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0.042</w:t>
            </w:r>
          </w:p>
        </w:tc>
        <w:tc>
          <w:tcPr>
            <w:tcW w:w="1083" w:type="dxa"/>
          </w:tcPr>
          <w:p w14:paraId="57F4CE28"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0.2183</w:t>
            </w:r>
          </w:p>
        </w:tc>
        <w:tc>
          <w:tcPr>
            <w:tcW w:w="1349" w:type="dxa"/>
          </w:tcPr>
          <w:p w14:paraId="6595C6DF"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3.9%</w:t>
            </w:r>
          </w:p>
        </w:tc>
        <w:tc>
          <w:tcPr>
            <w:tcW w:w="1434" w:type="dxa"/>
          </w:tcPr>
          <w:p w14:paraId="3DFB39E5"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0.218</w:t>
            </w:r>
          </w:p>
        </w:tc>
      </w:tr>
      <w:tr w:rsidR="005B3CB4" w14:paraId="263AC2D4" w14:textId="77777777" w:rsidTr="00D566BC">
        <w:tc>
          <w:tcPr>
            <w:tcW w:w="787" w:type="dxa"/>
          </w:tcPr>
          <w:p w14:paraId="251B4DC3"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-2.7</w:t>
            </w:r>
          </w:p>
        </w:tc>
        <w:tc>
          <w:tcPr>
            <w:tcW w:w="1548" w:type="dxa"/>
          </w:tcPr>
          <w:p w14:paraId="2382FCEC"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9.65</w:t>
            </w:r>
          </w:p>
        </w:tc>
        <w:tc>
          <w:tcPr>
            <w:tcW w:w="1193" w:type="dxa"/>
          </w:tcPr>
          <w:p w14:paraId="732D9D5B"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1.807</w:t>
            </w:r>
          </w:p>
        </w:tc>
        <w:tc>
          <w:tcPr>
            <w:tcW w:w="877" w:type="dxa"/>
          </w:tcPr>
          <w:p w14:paraId="37FAB208"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127.8</w:t>
            </w:r>
          </w:p>
        </w:tc>
        <w:tc>
          <w:tcPr>
            <w:tcW w:w="1079" w:type="dxa"/>
          </w:tcPr>
          <w:p w14:paraId="278CAE0E"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0.041</w:t>
            </w:r>
          </w:p>
        </w:tc>
        <w:tc>
          <w:tcPr>
            <w:tcW w:w="1083" w:type="dxa"/>
          </w:tcPr>
          <w:p w14:paraId="5AFE1E0F"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0.2288</w:t>
            </w:r>
          </w:p>
        </w:tc>
        <w:tc>
          <w:tcPr>
            <w:tcW w:w="1349" w:type="dxa"/>
          </w:tcPr>
          <w:p w14:paraId="61D41085"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3.7%</w:t>
            </w:r>
          </w:p>
        </w:tc>
        <w:tc>
          <w:tcPr>
            <w:tcW w:w="1434" w:type="dxa"/>
          </w:tcPr>
          <w:p w14:paraId="1F8AADD0"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0.229</w:t>
            </w:r>
          </w:p>
        </w:tc>
      </w:tr>
      <w:tr w:rsidR="005B3CB4" w14:paraId="1244DD43" w14:textId="77777777" w:rsidTr="00D566BC">
        <w:tc>
          <w:tcPr>
            <w:tcW w:w="787" w:type="dxa"/>
          </w:tcPr>
          <w:p w14:paraId="375116AF"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-2.6</w:t>
            </w:r>
          </w:p>
        </w:tc>
        <w:tc>
          <w:tcPr>
            <w:tcW w:w="1548" w:type="dxa"/>
          </w:tcPr>
          <w:p w14:paraId="3CDFFEFB"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8.73</w:t>
            </w:r>
          </w:p>
        </w:tc>
        <w:tc>
          <w:tcPr>
            <w:tcW w:w="1193" w:type="dxa"/>
          </w:tcPr>
          <w:p w14:paraId="7845C0FE"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1.727</w:t>
            </w:r>
          </w:p>
        </w:tc>
        <w:tc>
          <w:tcPr>
            <w:tcW w:w="877" w:type="dxa"/>
          </w:tcPr>
          <w:p w14:paraId="2709BA00"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114.9</w:t>
            </w:r>
          </w:p>
        </w:tc>
        <w:tc>
          <w:tcPr>
            <w:tcW w:w="1079" w:type="dxa"/>
          </w:tcPr>
          <w:p w14:paraId="3B3150DE"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0.045</w:t>
            </w:r>
          </w:p>
        </w:tc>
        <w:tc>
          <w:tcPr>
            <w:tcW w:w="1083" w:type="dxa"/>
          </w:tcPr>
          <w:p w14:paraId="6DF81755"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0.2399</w:t>
            </w:r>
          </w:p>
        </w:tc>
        <w:tc>
          <w:tcPr>
            <w:tcW w:w="1349" w:type="dxa"/>
          </w:tcPr>
          <w:p w14:paraId="61A40B0B"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3.9%</w:t>
            </w:r>
          </w:p>
        </w:tc>
        <w:tc>
          <w:tcPr>
            <w:tcW w:w="1434" w:type="dxa"/>
          </w:tcPr>
          <w:p w14:paraId="6D4885E0"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0.240</w:t>
            </w:r>
          </w:p>
        </w:tc>
      </w:tr>
      <w:tr w:rsidR="005B3CB4" w14:paraId="23DB815E" w14:textId="77777777" w:rsidTr="00D566BC">
        <w:tc>
          <w:tcPr>
            <w:tcW w:w="787" w:type="dxa"/>
          </w:tcPr>
          <w:p w14:paraId="76E9029E"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-2.5</w:t>
            </w:r>
          </w:p>
        </w:tc>
        <w:tc>
          <w:tcPr>
            <w:tcW w:w="1548" w:type="dxa"/>
          </w:tcPr>
          <w:p w14:paraId="641658D7"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7.90</w:t>
            </w:r>
          </w:p>
        </w:tc>
        <w:tc>
          <w:tcPr>
            <w:tcW w:w="1193" w:type="dxa"/>
          </w:tcPr>
          <w:p w14:paraId="485B0A3E"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1.651</w:t>
            </w:r>
          </w:p>
        </w:tc>
        <w:tc>
          <w:tcPr>
            <w:tcW w:w="877" w:type="dxa"/>
          </w:tcPr>
          <w:p w14:paraId="67A4DA11"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101.5</w:t>
            </w:r>
          </w:p>
        </w:tc>
        <w:tc>
          <w:tcPr>
            <w:tcW w:w="1079" w:type="dxa"/>
          </w:tcPr>
          <w:p w14:paraId="3A4EAD72"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0.047</w:t>
            </w:r>
          </w:p>
        </w:tc>
        <w:tc>
          <w:tcPr>
            <w:tcW w:w="1083" w:type="dxa"/>
          </w:tcPr>
          <w:p w14:paraId="7760BE22"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0.2514</w:t>
            </w:r>
          </w:p>
        </w:tc>
        <w:tc>
          <w:tcPr>
            <w:tcW w:w="1349" w:type="dxa"/>
          </w:tcPr>
          <w:p w14:paraId="556B28BE"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3.9%</w:t>
            </w:r>
          </w:p>
        </w:tc>
        <w:tc>
          <w:tcPr>
            <w:tcW w:w="1434" w:type="dxa"/>
          </w:tcPr>
          <w:p w14:paraId="0B06EDBF"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0.251</w:t>
            </w:r>
          </w:p>
        </w:tc>
      </w:tr>
      <w:tr w:rsidR="005B3CB4" w14:paraId="763822C4" w14:textId="77777777" w:rsidTr="00D566BC">
        <w:tc>
          <w:tcPr>
            <w:tcW w:w="787" w:type="dxa"/>
          </w:tcPr>
          <w:p w14:paraId="36FEC9D7"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-2.4</w:t>
            </w:r>
          </w:p>
        </w:tc>
        <w:tc>
          <w:tcPr>
            <w:tcW w:w="1548" w:type="dxa"/>
          </w:tcPr>
          <w:p w14:paraId="67921D03"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7.15</w:t>
            </w:r>
          </w:p>
        </w:tc>
        <w:tc>
          <w:tcPr>
            <w:tcW w:w="1193" w:type="dxa"/>
          </w:tcPr>
          <w:p w14:paraId="6B6FE91C"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1.585</w:t>
            </w:r>
          </w:p>
        </w:tc>
        <w:tc>
          <w:tcPr>
            <w:tcW w:w="877" w:type="dxa"/>
          </w:tcPr>
          <w:p w14:paraId="3F4EBC07"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83.8</w:t>
            </w:r>
          </w:p>
        </w:tc>
        <w:tc>
          <w:tcPr>
            <w:tcW w:w="1079" w:type="dxa"/>
          </w:tcPr>
          <w:p w14:paraId="4A901EE6"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0.044</w:t>
            </w:r>
          </w:p>
        </w:tc>
        <w:tc>
          <w:tcPr>
            <w:tcW w:w="1083" w:type="dxa"/>
          </w:tcPr>
          <w:p w14:paraId="15FE4CE7"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0.2635</w:t>
            </w:r>
          </w:p>
        </w:tc>
        <w:tc>
          <w:tcPr>
            <w:tcW w:w="1349" w:type="dxa"/>
          </w:tcPr>
          <w:p w14:paraId="57D8EA3F"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3.6%</w:t>
            </w:r>
          </w:p>
        </w:tc>
        <w:tc>
          <w:tcPr>
            <w:tcW w:w="1434" w:type="dxa"/>
          </w:tcPr>
          <w:p w14:paraId="379F52CC"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0.263</w:t>
            </w:r>
          </w:p>
        </w:tc>
      </w:tr>
      <w:tr w:rsidR="005B3CB4" w14:paraId="649CD478" w14:textId="77777777" w:rsidTr="00D566BC">
        <w:tc>
          <w:tcPr>
            <w:tcW w:w="787" w:type="dxa"/>
          </w:tcPr>
          <w:p w14:paraId="629A9E0E"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-2.3</w:t>
            </w:r>
          </w:p>
        </w:tc>
        <w:tc>
          <w:tcPr>
            <w:tcW w:w="1548" w:type="dxa"/>
          </w:tcPr>
          <w:p w14:paraId="60AE6BCE"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6.47</w:t>
            </w:r>
          </w:p>
        </w:tc>
        <w:tc>
          <w:tcPr>
            <w:tcW w:w="1193" w:type="dxa"/>
          </w:tcPr>
          <w:p w14:paraId="1E6AAD2F"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1.515</w:t>
            </w:r>
          </w:p>
        </w:tc>
        <w:tc>
          <w:tcPr>
            <w:tcW w:w="877" w:type="dxa"/>
          </w:tcPr>
          <w:p w14:paraId="7D829466"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71.4</w:t>
            </w:r>
          </w:p>
        </w:tc>
        <w:tc>
          <w:tcPr>
            <w:tcW w:w="1079" w:type="dxa"/>
          </w:tcPr>
          <w:p w14:paraId="15841354"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0.045</w:t>
            </w:r>
          </w:p>
        </w:tc>
        <w:tc>
          <w:tcPr>
            <w:tcW w:w="1083" w:type="dxa"/>
          </w:tcPr>
          <w:p w14:paraId="06E6442D"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0.2760</w:t>
            </w:r>
          </w:p>
        </w:tc>
        <w:tc>
          <w:tcPr>
            <w:tcW w:w="1349" w:type="dxa"/>
          </w:tcPr>
          <w:p w14:paraId="4AD230D6"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3.5%</w:t>
            </w:r>
          </w:p>
        </w:tc>
        <w:tc>
          <w:tcPr>
            <w:tcW w:w="1434" w:type="dxa"/>
          </w:tcPr>
          <w:p w14:paraId="7CA86E4F"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0.276</w:t>
            </w:r>
          </w:p>
        </w:tc>
      </w:tr>
      <w:tr w:rsidR="005B3CB4" w14:paraId="3A4150DE" w14:textId="77777777" w:rsidTr="00D566BC">
        <w:tc>
          <w:tcPr>
            <w:tcW w:w="787" w:type="dxa"/>
          </w:tcPr>
          <w:p w14:paraId="6F8FDE86"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-2.2</w:t>
            </w:r>
          </w:p>
        </w:tc>
        <w:tc>
          <w:tcPr>
            <w:tcW w:w="1548" w:type="dxa"/>
          </w:tcPr>
          <w:p w14:paraId="7D58C033"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5.85</w:t>
            </w:r>
          </w:p>
        </w:tc>
        <w:tc>
          <w:tcPr>
            <w:tcW w:w="1193" w:type="dxa"/>
          </w:tcPr>
          <w:p w14:paraId="50D258BE"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1.449</w:t>
            </w:r>
          </w:p>
        </w:tc>
        <w:tc>
          <w:tcPr>
            <w:tcW w:w="877" w:type="dxa"/>
          </w:tcPr>
          <w:p w14:paraId="30A34060"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59.6</w:t>
            </w:r>
          </w:p>
        </w:tc>
        <w:tc>
          <w:tcPr>
            <w:tcW w:w="1079" w:type="dxa"/>
          </w:tcPr>
          <w:p w14:paraId="01E96411"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0.043</w:t>
            </w:r>
          </w:p>
        </w:tc>
        <w:tc>
          <w:tcPr>
            <w:tcW w:w="1083" w:type="dxa"/>
          </w:tcPr>
          <w:p w14:paraId="71B094B3"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0.2891</w:t>
            </w:r>
          </w:p>
        </w:tc>
        <w:tc>
          <w:tcPr>
            <w:tcW w:w="1349" w:type="dxa"/>
          </w:tcPr>
          <w:p w14:paraId="1E457D89"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3.3%</w:t>
            </w:r>
          </w:p>
        </w:tc>
        <w:tc>
          <w:tcPr>
            <w:tcW w:w="1434" w:type="dxa"/>
          </w:tcPr>
          <w:p w14:paraId="6AEDA78A"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0.289</w:t>
            </w:r>
          </w:p>
        </w:tc>
      </w:tr>
      <w:tr w:rsidR="005B3CB4" w14:paraId="0C20F12B" w14:textId="77777777" w:rsidTr="00D566BC">
        <w:tc>
          <w:tcPr>
            <w:tcW w:w="787" w:type="dxa"/>
          </w:tcPr>
          <w:p w14:paraId="76C838AD"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-2.1</w:t>
            </w:r>
          </w:p>
        </w:tc>
        <w:tc>
          <w:tcPr>
            <w:tcW w:w="1548" w:type="dxa"/>
          </w:tcPr>
          <w:p w14:paraId="7A33317E"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5.30</w:t>
            </w:r>
          </w:p>
        </w:tc>
        <w:tc>
          <w:tcPr>
            <w:tcW w:w="1193" w:type="dxa"/>
          </w:tcPr>
          <w:p w14:paraId="18FE974D"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1.388</w:t>
            </w:r>
          </w:p>
        </w:tc>
        <w:tc>
          <w:tcPr>
            <w:tcW w:w="877" w:type="dxa"/>
          </w:tcPr>
          <w:p w14:paraId="79FF276E" w14:textId="77777777" w:rsidR="005B3CB4" w:rsidRPr="00923DD3" w:rsidRDefault="005B3CB4" w:rsidP="00543A53">
            <w:pPr>
              <w:pStyle w:val="NoSpacing"/>
              <w:rPr>
                <w:rFonts w:eastAsiaTheme="minorHAnsi" w:cs="Times New Roman"/>
                <w:i/>
                <w:iCs/>
                <w:color w:val="000000"/>
                <w:kern w:val="0"/>
                <w:lang w:eastAsia="en-US" w:bidi="ar-SA"/>
              </w:rPr>
            </w:pPr>
            <w:r w:rsidRPr="00923DD3">
              <w:rPr>
                <w:rFonts w:eastAsiaTheme="minorHAnsi" w:cs="Times New Roman"/>
                <w:i/>
                <w:iCs/>
                <w:color w:val="000000"/>
                <w:kern w:val="0"/>
                <w:lang w:eastAsia="en-US" w:bidi="ar-SA"/>
              </w:rPr>
              <w:t>48.7</w:t>
            </w:r>
          </w:p>
        </w:tc>
        <w:tc>
          <w:tcPr>
            <w:tcW w:w="1079" w:type="dxa"/>
          </w:tcPr>
          <w:p w14:paraId="4C98AB95"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0.041</w:t>
            </w:r>
          </w:p>
        </w:tc>
        <w:tc>
          <w:tcPr>
            <w:tcW w:w="1083" w:type="dxa"/>
          </w:tcPr>
          <w:p w14:paraId="17FB6074"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0.3026</w:t>
            </w:r>
          </w:p>
        </w:tc>
        <w:tc>
          <w:tcPr>
            <w:tcW w:w="1349" w:type="dxa"/>
          </w:tcPr>
          <w:p w14:paraId="21AFF625"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3.0%</w:t>
            </w:r>
          </w:p>
        </w:tc>
        <w:tc>
          <w:tcPr>
            <w:tcW w:w="1434" w:type="dxa"/>
          </w:tcPr>
          <w:p w14:paraId="76829F29"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0.303</w:t>
            </w:r>
          </w:p>
        </w:tc>
      </w:tr>
      <w:tr w:rsidR="005B3CB4" w14:paraId="7C1B6950" w14:textId="77777777" w:rsidTr="00D566BC">
        <w:tc>
          <w:tcPr>
            <w:tcW w:w="787" w:type="dxa"/>
          </w:tcPr>
          <w:p w14:paraId="66D0A91A"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-2.0</w:t>
            </w:r>
          </w:p>
        </w:tc>
        <w:tc>
          <w:tcPr>
            <w:tcW w:w="1548" w:type="dxa"/>
          </w:tcPr>
          <w:p w14:paraId="6DF44A45"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4.79</w:t>
            </w:r>
          </w:p>
        </w:tc>
        <w:tc>
          <w:tcPr>
            <w:tcW w:w="1193" w:type="dxa"/>
          </w:tcPr>
          <w:p w14:paraId="4FD2349F"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1.331</w:t>
            </w:r>
          </w:p>
        </w:tc>
        <w:tc>
          <w:tcPr>
            <w:tcW w:w="877" w:type="dxa"/>
          </w:tcPr>
          <w:p w14:paraId="4E39A5D5" w14:textId="77777777" w:rsidR="005B3CB4" w:rsidRPr="00923DD3" w:rsidRDefault="005B3CB4" w:rsidP="00543A53">
            <w:pPr>
              <w:pStyle w:val="NoSpacing"/>
              <w:rPr>
                <w:rFonts w:eastAsiaTheme="minorHAnsi" w:cs="Times New Roman"/>
                <w:i/>
                <w:iCs/>
                <w:color w:val="000000"/>
                <w:kern w:val="0"/>
                <w:lang w:eastAsia="en-US" w:bidi="ar-SA"/>
              </w:rPr>
            </w:pPr>
            <w:r w:rsidRPr="00923DD3">
              <w:rPr>
                <w:rFonts w:eastAsiaTheme="minorHAnsi" w:cs="Times New Roman"/>
                <w:i/>
                <w:iCs/>
                <w:color w:val="000000"/>
                <w:kern w:val="0"/>
                <w:lang w:eastAsia="en-US" w:bidi="ar-SA"/>
              </w:rPr>
              <w:t>38.9</w:t>
            </w:r>
          </w:p>
        </w:tc>
        <w:tc>
          <w:tcPr>
            <w:tcW w:w="1079" w:type="dxa"/>
          </w:tcPr>
          <w:p w14:paraId="149BAFB4"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0.036</w:t>
            </w:r>
          </w:p>
        </w:tc>
        <w:tc>
          <w:tcPr>
            <w:tcW w:w="1083" w:type="dxa"/>
          </w:tcPr>
          <w:p w14:paraId="33B03F45"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0.3166</w:t>
            </w:r>
          </w:p>
        </w:tc>
        <w:tc>
          <w:tcPr>
            <w:tcW w:w="1349" w:type="dxa"/>
          </w:tcPr>
          <w:p w14:paraId="0B77FA5C"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2.6%</w:t>
            </w:r>
          </w:p>
        </w:tc>
        <w:tc>
          <w:tcPr>
            <w:tcW w:w="1434" w:type="dxa"/>
          </w:tcPr>
          <w:p w14:paraId="14CC490E"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0.317</w:t>
            </w:r>
          </w:p>
        </w:tc>
      </w:tr>
      <w:tr w:rsidR="005B3CB4" w14:paraId="5D94F181" w14:textId="77777777" w:rsidTr="00D566BC">
        <w:tc>
          <w:tcPr>
            <w:tcW w:w="787" w:type="dxa"/>
          </w:tcPr>
          <w:p w14:paraId="42A409FD"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-1.9</w:t>
            </w:r>
          </w:p>
        </w:tc>
        <w:tc>
          <w:tcPr>
            <w:tcW w:w="1548" w:type="dxa"/>
          </w:tcPr>
          <w:p w14:paraId="2A20065A"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4.34</w:t>
            </w:r>
          </w:p>
        </w:tc>
        <w:tc>
          <w:tcPr>
            <w:tcW w:w="1193" w:type="dxa"/>
          </w:tcPr>
          <w:p w14:paraId="29A08390"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1.280</w:t>
            </w:r>
          </w:p>
        </w:tc>
        <w:tc>
          <w:tcPr>
            <w:tcW w:w="877" w:type="dxa"/>
          </w:tcPr>
          <w:p w14:paraId="0DE3EF20" w14:textId="77777777" w:rsidR="005B3CB4" w:rsidRPr="00923DD3" w:rsidRDefault="005B3CB4" w:rsidP="00543A53">
            <w:pPr>
              <w:pStyle w:val="NoSpacing"/>
              <w:rPr>
                <w:rFonts w:eastAsiaTheme="minorHAnsi" w:cs="Times New Roman"/>
                <w:i/>
                <w:iCs/>
                <w:color w:val="000000"/>
                <w:kern w:val="0"/>
                <w:lang w:eastAsia="en-US" w:bidi="ar-SA"/>
              </w:rPr>
            </w:pPr>
            <w:r w:rsidRPr="00923DD3">
              <w:rPr>
                <w:rFonts w:eastAsiaTheme="minorHAnsi" w:cs="Times New Roman"/>
                <w:i/>
                <w:iCs/>
                <w:color w:val="000000"/>
                <w:kern w:val="0"/>
                <w:lang w:eastAsia="en-US" w:bidi="ar-SA"/>
              </w:rPr>
              <w:t>30.4</w:t>
            </w:r>
          </w:p>
        </w:tc>
        <w:tc>
          <w:tcPr>
            <w:tcW w:w="1079" w:type="dxa"/>
          </w:tcPr>
          <w:p w14:paraId="7C5960DC"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0.028</w:t>
            </w:r>
          </w:p>
        </w:tc>
        <w:tc>
          <w:tcPr>
            <w:tcW w:w="1083" w:type="dxa"/>
          </w:tcPr>
          <w:p w14:paraId="0BE5C7A5"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0.3310</w:t>
            </w:r>
          </w:p>
        </w:tc>
        <w:tc>
          <w:tcPr>
            <w:tcW w:w="1349" w:type="dxa"/>
          </w:tcPr>
          <w:p w14:paraId="0928B1D4"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2.0%</w:t>
            </w:r>
          </w:p>
        </w:tc>
        <w:tc>
          <w:tcPr>
            <w:tcW w:w="1434" w:type="dxa"/>
          </w:tcPr>
          <w:p w14:paraId="793ABDEC"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0.331</w:t>
            </w:r>
          </w:p>
        </w:tc>
      </w:tr>
      <w:tr w:rsidR="005B3CB4" w14:paraId="510D84BE" w14:textId="77777777" w:rsidTr="00D566BC">
        <w:tc>
          <w:tcPr>
            <w:tcW w:w="787" w:type="dxa"/>
          </w:tcPr>
          <w:p w14:paraId="3601DBEC"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-1.8</w:t>
            </w:r>
          </w:p>
        </w:tc>
        <w:tc>
          <w:tcPr>
            <w:tcW w:w="1548" w:type="dxa"/>
          </w:tcPr>
          <w:p w14:paraId="005EC275"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3.92</w:t>
            </w:r>
          </w:p>
        </w:tc>
        <w:tc>
          <w:tcPr>
            <w:tcW w:w="1193" w:type="dxa"/>
          </w:tcPr>
          <w:p w14:paraId="4E56AE30"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1.234</w:t>
            </w:r>
          </w:p>
        </w:tc>
        <w:tc>
          <w:tcPr>
            <w:tcW w:w="877" w:type="dxa"/>
          </w:tcPr>
          <w:p w14:paraId="6E653D4E" w14:textId="77777777" w:rsidR="005B3CB4" w:rsidRPr="00923DD3" w:rsidRDefault="005B3CB4" w:rsidP="00543A53">
            <w:pPr>
              <w:pStyle w:val="NoSpacing"/>
              <w:rPr>
                <w:rFonts w:eastAsiaTheme="minorHAnsi" w:cs="Times New Roman"/>
                <w:i/>
                <w:iCs/>
                <w:color w:val="000000"/>
                <w:kern w:val="0"/>
                <w:lang w:eastAsia="en-US" w:bidi="ar-SA"/>
              </w:rPr>
            </w:pPr>
            <w:r w:rsidRPr="00923DD3">
              <w:rPr>
                <w:rFonts w:eastAsiaTheme="minorHAnsi" w:cs="Times New Roman"/>
                <w:i/>
                <w:iCs/>
                <w:color w:val="000000"/>
                <w:kern w:val="0"/>
                <w:lang w:eastAsia="en-US" w:bidi="ar-SA"/>
              </w:rPr>
              <w:t>23.3</w:t>
            </w:r>
          </w:p>
        </w:tc>
        <w:tc>
          <w:tcPr>
            <w:tcW w:w="1079" w:type="dxa"/>
          </w:tcPr>
          <w:p w14:paraId="3CEDC7B5"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0.019</w:t>
            </w:r>
          </w:p>
        </w:tc>
        <w:tc>
          <w:tcPr>
            <w:tcW w:w="1083" w:type="dxa"/>
          </w:tcPr>
          <w:p w14:paraId="091333AA"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0.3565</w:t>
            </w:r>
          </w:p>
        </w:tc>
        <w:tc>
          <w:tcPr>
            <w:tcW w:w="1349" w:type="dxa"/>
          </w:tcPr>
          <w:p w14:paraId="40B1AA1E"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1.3%</w:t>
            </w:r>
          </w:p>
        </w:tc>
        <w:tc>
          <w:tcPr>
            <w:tcW w:w="1434" w:type="dxa"/>
          </w:tcPr>
          <w:p w14:paraId="7AD824ED"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0.356</w:t>
            </w:r>
          </w:p>
        </w:tc>
      </w:tr>
      <w:tr w:rsidR="005B3CB4" w14:paraId="632D0DFD" w14:textId="77777777" w:rsidTr="00D566BC">
        <w:tc>
          <w:tcPr>
            <w:tcW w:w="787" w:type="dxa"/>
          </w:tcPr>
          <w:p w14:paraId="0EAA558D"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-1.7</w:t>
            </w:r>
          </w:p>
        </w:tc>
        <w:tc>
          <w:tcPr>
            <w:tcW w:w="1548" w:type="dxa"/>
          </w:tcPr>
          <w:p w14:paraId="37A0C49C"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3.55</w:t>
            </w:r>
          </w:p>
        </w:tc>
        <w:tc>
          <w:tcPr>
            <w:tcW w:w="1193" w:type="dxa"/>
          </w:tcPr>
          <w:p w14:paraId="2DA36BF7"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1.194</w:t>
            </w:r>
          </w:p>
        </w:tc>
        <w:tc>
          <w:tcPr>
            <w:tcW w:w="877" w:type="dxa"/>
          </w:tcPr>
          <w:p w14:paraId="7171ADA8" w14:textId="77777777" w:rsidR="005B3CB4" w:rsidRPr="00923DD3" w:rsidRDefault="005B3CB4" w:rsidP="00543A53">
            <w:pPr>
              <w:pStyle w:val="NoSpacing"/>
              <w:rPr>
                <w:rFonts w:eastAsiaTheme="minorHAnsi" w:cs="Times New Roman"/>
                <w:i/>
                <w:iCs/>
                <w:color w:val="000000"/>
                <w:kern w:val="0"/>
                <w:lang w:eastAsia="en-US" w:bidi="ar-SA"/>
              </w:rPr>
            </w:pPr>
            <w:r w:rsidRPr="00923DD3">
              <w:rPr>
                <w:rFonts w:eastAsiaTheme="minorHAnsi" w:cs="Times New Roman"/>
                <w:i/>
                <w:iCs/>
                <w:color w:val="000000"/>
                <w:kern w:val="0"/>
                <w:lang w:eastAsia="en-US" w:bidi="ar-SA"/>
              </w:rPr>
              <w:t>17.7</w:t>
            </w:r>
          </w:p>
        </w:tc>
        <w:tc>
          <w:tcPr>
            <w:tcW w:w="1079" w:type="dxa"/>
          </w:tcPr>
          <w:p w14:paraId="311FF873"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0.010</w:t>
            </w:r>
          </w:p>
        </w:tc>
        <w:tc>
          <w:tcPr>
            <w:tcW w:w="1083" w:type="dxa"/>
          </w:tcPr>
          <w:p w14:paraId="328B1557"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0.3716</w:t>
            </w:r>
          </w:p>
        </w:tc>
        <w:tc>
          <w:tcPr>
            <w:tcW w:w="1349" w:type="dxa"/>
          </w:tcPr>
          <w:p w14:paraId="1CBE81F9"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0.7%</w:t>
            </w:r>
          </w:p>
        </w:tc>
        <w:tc>
          <w:tcPr>
            <w:tcW w:w="1434" w:type="dxa"/>
          </w:tcPr>
          <w:p w14:paraId="538CFF5A"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0.372</w:t>
            </w:r>
          </w:p>
        </w:tc>
      </w:tr>
      <w:tr w:rsidR="005B3CB4" w14:paraId="6D48723A" w14:textId="77777777" w:rsidTr="00D566BC">
        <w:tc>
          <w:tcPr>
            <w:tcW w:w="787" w:type="dxa"/>
          </w:tcPr>
          <w:p w14:paraId="527E8B22"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-1.6</w:t>
            </w:r>
          </w:p>
        </w:tc>
        <w:tc>
          <w:tcPr>
            <w:tcW w:w="1548" w:type="dxa"/>
          </w:tcPr>
          <w:p w14:paraId="5BAC8A97"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3.21</w:t>
            </w:r>
          </w:p>
        </w:tc>
        <w:tc>
          <w:tcPr>
            <w:tcW w:w="1193" w:type="dxa"/>
          </w:tcPr>
          <w:p w14:paraId="054DAAA3"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1.161</w:t>
            </w:r>
          </w:p>
        </w:tc>
        <w:tc>
          <w:tcPr>
            <w:tcW w:w="877" w:type="dxa"/>
          </w:tcPr>
          <w:p w14:paraId="0F97D249" w14:textId="77777777" w:rsidR="005B3CB4" w:rsidRPr="00923DD3" w:rsidRDefault="005B3CB4" w:rsidP="00543A53">
            <w:pPr>
              <w:pStyle w:val="NoSpacing"/>
              <w:rPr>
                <w:rFonts w:eastAsiaTheme="minorHAnsi" w:cs="Times New Roman"/>
                <w:i/>
                <w:iCs/>
                <w:color w:val="000000"/>
                <w:kern w:val="0"/>
                <w:lang w:eastAsia="en-US" w:bidi="ar-SA"/>
              </w:rPr>
            </w:pPr>
            <w:r w:rsidRPr="00923DD3">
              <w:rPr>
                <w:rFonts w:eastAsiaTheme="minorHAnsi" w:cs="Times New Roman"/>
                <w:i/>
                <w:iCs/>
                <w:color w:val="000000"/>
                <w:kern w:val="0"/>
                <w:lang w:eastAsia="en-US" w:bidi="ar-SA"/>
              </w:rPr>
              <w:t>13.1</w:t>
            </w:r>
          </w:p>
        </w:tc>
        <w:tc>
          <w:tcPr>
            <w:tcW w:w="1079" w:type="dxa"/>
          </w:tcPr>
          <w:p w14:paraId="4E6AEE4B"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0.016</w:t>
            </w:r>
          </w:p>
        </w:tc>
        <w:tc>
          <w:tcPr>
            <w:tcW w:w="1083" w:type="dxa"/>
          </w:tcPr>
          <w:p w14:paraId="7744A0CA"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0.3870</w:t>
            </w:r>
          </w:p>
        </w:tc>
        <w:tc>
          <w:tcPr>
            <w:tcW w:w="1349" w:type="dxa"/>
          </w:tcPr>
          <w:p w14:paraId="1ED954A7"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1.1%</w:t>
            </w:r>
          </w:p>
        </w:tc>
        <w:tc>
          <w:tcPr>
            <w:tcW w:w="1434" w:type="dxa"/>
          </w:tcPr>
          <w:p w14:paraId="12915A78"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0.387</w:t>
            </w:r>
          </w:p>
        </w:tc>
      </w:tr>
      <w:tr w:rsidR="005B3CB4" w14:paraId="6ED88611" w14:textId="77777777" w:rsidTr="00D566BC">
        <w:tc>
          <w:tcPr>
            <w:tcW w:w="787" w:type="dxa"/>
          </w:tcPr>
          <w:p w14:paraId="0F530399"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-1.5*</w:t>
            </w:r>
          </w:p>
        </w:tc>
        <w:tc>
          <w:tcPr>
            <w:tcW w:w="1548" w:type="dxa"/>
          </w:tcPr>
          <w:p w14:paraId="7EBDC70A"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2.91</w:t>
            </w:r>
          </w:p>
        </w:tc>
        <w:tc>
          <w:tcPr>
            <w:tcW w:w="1193" w:type="dxa"/>
          </w:tcPr>
          <w:p w14:paraId="5189CF41"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1.128</w:t>
            </w:r>
          </w:p>
        </w:tc>
        <w:tc>
          <w:tcPr>
            <w:tcW w:w="877" w:type="dxa"/>
          </w:tcPr>
          <w:p w14:paraId="2EE0DDEF" w14:textId="77777777" w:rsidR="005B3CB4" w:rsidRPr="00923DD3" w:rsidRDefault="005B3CB4" w:rsidP="00543A53">
            <w:pPr>
              <w:pStyle w:val="NoSpacing"/>
              <w:rPr>
                <w:rFonts w:eastAsiaTheme="minorHAnsi" w:cs="Times New Roman"/>
                <w:i/>
                <w:iCs/>
                <w:color w:val="000000"/>
                <w:kern w:val="0"/>
                <w:lang w:eastAsia="en-US" w:bidi="ar-SA"/>
              </w:rPr>
            </w:pPr>
            <w:r w:rsidRPr="00923DD3">
              <w:rPr>
                <w:rFonts w:eastAsiaTheme="minorHAnsi" w:cs="Times New Roman"/>
                <w:i/>
                <w:iCs/>
                <w:color w:val="000000"/>
                <w:kern w:val="0"/>
                <w:lang w:eastAsia="en-US" w:bidi="ar-SA"/>
              </w:rPr>
              <w:t>9.9</w:t>
            </w:r>
          </w:p>
        </w:tc>
        <w:tc>
          <w:tcPr>
            <w:tcW w:w="1079" w:type="dxa"/>
          </w:tcPr>
          <w:p w14:paraId="03AEF431"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0.031</w:t>
            </w:r>
          </w:p>
        </w:tc>
        <w:tc>
          <w:tcPr>
            <w:tcW w:w="1083" w:type="dxa"/>
          </w:tcPr>
          <w:p w14:paraId="69DAB186"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0.4128</w:t>
            </w:r>
          </w:p>
        </w:tc>
        <w:tc>
          <w:tcPr>
            <w:tcW w:w="1349" w:type="dxa"/>
          </w:tcPr>
          <w:p w14:paraId="05D94497"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1.9%</w:t>
            </w:r>
          </w:p>
        </w:tc>
        <w:tc>
          <w:tcPr>
            <w:tcW w:w="1434" w:type="dxa"/>
          </w:tcPr>
          <w:p w14:paraId="7B28FF56"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0.413</w:t>
            </w:r>
          </w:p>
        </w:tc>
      </w:tr>
      <w:tr w:rsidR="005B3CB4" w14:paraId="1ACBF4BF" w14:textId="77777777" w:rsidTr="00E80D26">
        <w:tc>
          <w:tcPr>
            <w:tcW w:w="9350" w:type="dxa"/>
            <w:gridSpan w:val="8"/>
          </w:tcPr>
          <w:p w14:paraId="039C35E3" w14:textId="77777777" w:rsidR="005B3CB4" w:rsidRPr="004A37BC" w:rsidRDefault="005B3CB4" w:rsidP="00543A53">
            <w:pPr>
              <w:pStyle w:val="NoSpacing"/>
              <w:rPr>
                <w:rFonts w:eastAsiaTheme="minorHAnsi" w:cs="Times New Roman"/>
                <w:color w:val="000000"/>
                <w:kern w:val="0"/>
                <w:lang w:eastAsia="en-US" w:bidi="ar-SA"/>
              </w:rPr>
            </w:pPr>
            <w:r w:rsidRPr="004A37BC">
              <w:rPr>
                <w:rFonts w:eastAsiaTheme="minorHAnsi" w:cs="Times New Roman"/>
                <w:color w:val="000000"/>
                <w:kern w:val="0"/>
                <w:lang w:eastAsia="en-US" w:bidi="ar-SA"/>
              </w:rPr>
              <w:t xml:space="preserve">*Indicates the low pressure is above 0.01 and at </w:t>
            </w:r>
            <w:r w:rsidRPr="004A37BC">
              <w:rPr>
                <w:rFonts w:eastAsiaTheme="minorHAnsi" w:cs="Times New Roman"/>
                <w:i/>
                <w:iCs/>
                <w:color w:val="000000"/>
                <w:kern w:val="0"/>
                <w:lang w:eastAsia="en-US" w:bidi="ar-SA"/>
              </w:rPr>
              <w:t>P</w:t>
            </w:r>
            <w:r w:rsidRPr="004A37BC">
              <w:rPr>
                <w:rFonts w:eastAsiaTheme="minorHAnsi" w:cs="Times New Roman"/>
                <w:color w:val="000000"/>
                <w:kern w:val="0"/>
                <w:lang w:eastAsia="en-US" w:bidi="ar-SA"/>
              </w:rPr>
              <w:t>/</w:t>
            </w:r>
            <w:r w:rsidRPr="004A37BC">
              <w:rPr>
                <w:rFonts w:eastAsiaTheme="minorHAnsi" w:cs="Times New Roman"/>
                <w:i/>
                <w:iCs/>
                <w:color w:val="000000"/>
                <w:kern w:val="0"/>
                <w:lang w:eastAsia="en-US" w:bidi="ar-SA"/>
              </w:rPr>
              <w:t>P</w:t>
            </w:r>
            <w:r w:rsidRPr="004A37BC">
              <w:rPr>
                <w:rFonts w:eastAsiaTheme="minorHAnsi" w:cs="Times New Roman"/>
                <w:color w:val="000000"/>
                <w:kern w:val="0"/>
                <w:vertAlign w:val="subscript"/>
                <w:lang w:eastAsia="en-US" w:bidi="ar-SA"/>
              </w:rPr>
              <w:t>ς</w:t>
            </w:r>
          </w:p>
        </w:tc>
      </w:tr>
    </w:tbl>
    <w:p w14:paraId="482CC538" w14:textId="77777777" w:rsidR="00594748" w:rsidRDefault="00594748" w:rsidP="00543A53">
      <w:pPr>
        <w:pStyle w:val="NoSpacing"/>
        <w:rPr>
          <w:rFonts w:cs="Times New Roman"/>
        </w:rPr>
      </w:pPr>
    </w:p>
    <w:p w14:paraId="4D7465CA" w14:textId="08D85125" w:rsidR="006F15CF" w:rsidRPr="000508B8" w:rsidRDefault="006F15CF" w:rsidP="00543A53">
      <w:pPr>
        <w:pStyle w:val="NoSpacing"/>
        <w:rPr>
          <w:rFonts w:cs="Times New Roman"/>
        </w:rPr>
      </w:pPr>
      <w:r>
        <w:rPr>
          <w:rFonts w:cs="Times New Roman"/>
          <w:b/>
          <w:bCs/>
        </w:rPr>
        <w:t xml:space="preserve">Table IV </w:t>
      </w:r>
      <w:r>
        <w:rPr>
          <w:rFonts w:cs="Times New Roman"/>
        </w:rPr>
        <w:t xml:space="preserve">is the results of a </w:t>
      </w:r>
      <w:r w:rsidRPr="0098203C">
        <w:rPr>
          <w:rFonts w:cs="Times New Roman"/>
          <w:u w:val="single"/>
        </w:rPr>
        <w:t>non-linear</w:t>
      </w:r>
      <w:r>
        <w:rPr>
          <w:rFonts w:cs="Times New Roman"/>
        </w:rPr>
        <w:t xml:space="preserve"> least squares fit of the BET equation</w:t>
      </w:r>
      <w:r w:rsidR="005C3A3B">
        <w:rPr>
          <w:rFonts w:cs="Times New Roman"/>
        </w:rPr>
        <w:t xml:space="preserve"> compared</w:t>
      </w:r>
      <w:r>
        <w:rPr>
          <w:rFonts w:cs="Times New Roman"/>
        </w:rPr>
        <w:t xml:space="preserve"> to the QM</w:t>
      </w:r>
      <w:r w:rsidR="007665F2">
        <w:rPr>
          <w:rFonts w:cs="Times New Roman"/>
        </w:rPr>
        <w:t>/ESW</w:t>
      </w:r>
      <w:r>
        <w:rPr>
          <w:rFonts w:cs="Times New Roman"/>
        </w:rPr>
        <w:t xml:space="preserve"> equation.  The range is the </w:t>
      </w:r>
      <w:proofErr w:type="gramStart"/>
      <w:r w:rsidR="00F00C10" w:rsidRPr="00F00C10">
        <w:rPr>
          <w:rFonts w:cs="Times New Roman"/>
          <w:i/>
          <w:iCs/>
        </w:rPr>
        <w:t>X</w:t>
      </w:r>
      <w:r w:rsidR="000508B8">
        <w:rPr>
          <w:rFonts w:cs="Times New Roman"/>
        </w:rPr>
        <w:t>{</w:t>
      </w:r>
      <w:proofErr w:type="gramEnd"/>
      <w:r w:rsidR="00594748" w:rsidRPr="000508B8">
        <w:rPr>
          <w:rFonts w:cs="Times New Roman"/>
          <w:b/>
          <w:bCs/>
        </w:rPr>
        <w:t>max</w:t>
      </w:r>
      <w:r w:rsidR="000508B8">
        <w:rPr>
          <w:rFonts w:cs="Times New Roman"/>
          <w:b/>
          <w:bCs/>
        </w:rPr>
        <w:t xml:space="preserve"> </w:t>
      </w:r>
      <w:r w:rsidR="00594748">
        <w:rPr>
          <w:rFonts w:cs="Times New Roman"/>
        </w:rPr>
        <w:t>(</w:t>
      </w:r>
      <w:r>
        <w:rPr>
          <w:rFonts w:cs="Times New Roman"/>
        </w:rPr>
        <w:t>0.01</w:t>
      </w:r>
      <w:r w:rsidR="00594748">
        <w:rPr>
          <w:rFonts w:cs="Times New Roman"/>
        </w:rPr>
        <w:t>, χ</w:t>
      </w:r>
      <w:r w:rsidR="00594748" w:rsidRPr="00594748">
        <w:rPr>
          <w:rFonts w:cs="Times New Roman"/>
          <w:vertAlign w:val="subscript"/>
        </w:rPr>
        <w:t>ς</w:t>
      </w:r>
      <w:r w:rsidR="00594748">
        <w:rPr>
          <w:rFonts w:cs="Times New Roman"/>
        </w:rPr>
        <w:t>)</w:t>
      </w:r>
      <w:r w:rsidR="000508B8">
        <w:rPr>
          <w:rFonts w:cs="Times New Roman"/>
        </w:rPr>
        <w:t>}</w:t>
      </w:r>
      <w:r>
        <w:rPr>
          <w:rFonts w:cs="Times New Roman"/>
        </w:rPr>
        <w:t xml:space="preserve"> ≤ </w:t>
      </w:r>
      <w:r w:rsidR="00594748" w:rsidRPr="00594748">
        <w:rPr>
          <w:rFonts w:cs="Times New Roman"/>
          <w:i/>
          <w:iCs/>
        </w:rPr>
        <w:t>X</w:t>
      </w:r>
      <w:r>
        <w:rPr>
          <w:rFonts w:cs="Times New Roman"/>
        </w:rPr>
        <w:t xml:space="preserve"> ≤ </w:t>
      </w:r>
      <w:r w:rsidR="00594748" w:rsidRPr="00594748">
        <w:rPr>
          <w:rFonts w:cs="Times New Roman"/>
          <w:i/>
          <w:iCs/>
        </w:rPr>
        <w:t>X</w:t>
      </w:r>
      <w:r w:rsidR="00594748">
        <w:rPr>
          <w:rFonts w:cs="Times New Roman"/>
          <w:i/>
          <w:iCs/>
        </w:rPr>
        <w:t xml:space="preserve"> </w:t>
      </w:r>
      <w:r w:rsidR="000508B8">
        <w:rPr>
          <w:rFonts w:cs="Times New Roman"/>
        </w:rPr>
        <w:t>{</w:t>
      </w:r>
      <w:r>
        <w:rPr>
          <w:rFonts w:cs="Times New Roman"/>
        </w:rPr>
        <w:t>(</w:t>
      </w:r>
      <w:r w:rsidRPr="000508B8">
        <w:rPr>
          <w:rFonts w:cs="Times New Roman"/>
          <w:b/>
          <w:bCs/>
        </w:rPr>
        <w:t>max</w:t>
      </w:r>
      <w:r>
        <w:rPr>
          <w:rFonts w:cs="Times New Roman"/>
        </w:rPr>
        <w:t xml:space="preserve"> [</w:t>
      </w:r>
      <w:r>
        <w:rPr>
          <w:rFonts w:cs="Times New Roman"/>
          <w:i/>
          <w:iCs/>
        </w:rPr>
        <w:t xml:space="preserve">n </w:t>
      </w:r>
      <w:r>
        <w:rPr>
          <w:rFonts w:cs="Times New Roman"/>
        </w:rPr>
        <w:t>{1-</w:t>
      </w:r>
      <w:r w:rsidRPr="00B0186A">
        <w:rPr>
          <w:rFonts w:cs="Times New Roman"/>
          <w:i/>
          <w:iCs/>
        </w:rPr>
        <w:t xml:space="preserve"> </w:t>
      </w:r>
      <w:r w:rsidR="00594748" w:rsidRPr="00594748">
        <w:rPr>
          <w:rFonts w:cs="Times New Roman"/>
          <w:i/>
          <w:iCs/>
        </w:rPr>
        <w:t>X</w:t>
      </w:r>
      <w:r>
        <w:rPr>
          <w:rFonts w:cs="Times New Roman"/>
        </w:rPr>
        <w:t>}]</w:t>
      </w:r>
      <w:r w:rsidR="000508B8">
        <w:rPr>
          <w:rFonts w:cs="Times New Roman"/>
        </w:rPr>
        <w:t>}</w:t>
      </w:r>
      <w:r>
        <w:rPr>
          <w:rFonts w:cs="Times New Roman"/>
        </w:rPr>
        <w:t xml:space="preserve">.  The program used </w:t>
      </w:r>
      <w:r w:rsidR="000508B8">
        <w:rPr>
          <w:rFonts w:cs="Times New Roman"/>
        </w:rPr>
        <w:t>i</w:t>
      </w:r>
      <w:r>
        <w:rPr>
          <w:rFonts w:cs="Times New Roman"/>
        </w:rPr>
        <w:t>s more versatile than a polynomial routine and can handle any equation</w:t>
      </w:r>
      <w:r w:rsidR="00594748">
        <w:rPr>
          <w:rFonts w:cs="Times New Roman"/>
        </w:rPr>
        <w:t xml:space="preserve"> that is monotonic</w:t>
      </w:r>
      <w:r w:rsidR="005C3A3B">
        <w:rPr>
          <w:rFonts w:cs="Times New Roman"/>
        </w:rPr>
        <w:t xml:space="preserve"> and more.</w:t>
      </w:r>
      <w:r w:rsidR="00594748">
        <w:rPr>
          <w:rFonts w:cs="Times New Roman"/>
        </w:rPr>
        <w:t xml:space="preserve"> T</w:t>
      </w:r>
      <w:r>
        <w:rPr>
          <w:rFonts w:cs="Times New Roman"/>
        </w:rPr>
        <w:t xml:space="preserve">he NLLS approach yields better statistical results than the transform method and is perhaps more reliable. To avoid negative values for </w:t>
      </w:r>
      <w:r>
        <w:rPr>
          <w:rFonts w:cs="Times New Roman"/>
          <w:i/>
          <w:iCs/>
        </w:rPr>
        <w:t>n</w:t>
      </w:r>
      <w:r w:rsidRPr="0098203C">
        <w:rPr>
          <w:rFonts w:cs="Times New Roman"/>
          <w:vertAlign w:val="subscript"/>
        </w:rPr>
        <w:t>a</w:t>
      </w:r>
      <w:r>
        <w:rPr>
          <w:rFonts w:cs="Times New Roman"/>
        </w:rPr>
        <w:t xml:space="preserve"> the lower limit on the range must be increased.  </w:t>
      </w:r>
      <w:r w:rsidR="000508B8">
        <w:rPr>
          <w:rFonts w:cs="Times New Roman"/>
        </w:rPr>
        <w:t xml:space="preserve">Thus, the calculation is adjusted to terminate at </w:t>
      </w:r>
      <w:r>
        <w:rPr>
          <w:rFonts w:eastAsiaTheme="minorHAnsi" w:cs="Times New Roman"/>
          <w:color w:val="000000"/>
          <w:kern w:val="0"/>
          <w:lang w:eastAsia="en-US" w:bidi="ar-SA"/>
        </w:rPr>
        <w:t>χ</w:t>
      </w:r>
      <w:r w:rsidRPr="00BC2316">
        <w:rPr>
          <w:rFonts w:eastAsiaTheme="minorHAnsi" w:cs="Times New Roman"/>
          <w:color w:val="000000"/>
          <w:kern w:val="0"/>
          <w:vertAlign w:val="subscript"/>
          <w:lang w:eastAsia="en-US" w:bidi="ar-SA"/>
        </w:rPr>
        <w:t>ς</w:t>
      </w:r>
      <w:r w:rsidR="000508B8">
        <w:rPr>
          <w:rFonts w:cs="Times New Roman"/>
        </w:rPr>
        <w:t xml:space="preserve"> instead </w:t>
      </w:r>
      <w:r w:rsidR="000508B8">
        <w:rPr>
          <w:rFonts w:cs="Times New Roman"/>
          <w:i/>
          <w:iCs/>
        </w:rPr>
        <w:t>X</w:t>
      </w:r>
      <w:r w:rsidR="000508B8">
        <w:rPr>
          <w:rFonts w:cs="Times New Roman"/>
        </w:rPr>
        <w:t xml:space="preserve"> = 0.01.</w:t>
      </w:r>
    </w:p>
    <w:p w14:paraId="0571C570" w14:textId="77777777" w:rsidR="006F15CF" w:rsidRDefault="006F15CF" w:rsidP="00543A53">
      <w:pPr>
        <w:pStyle w:val="NoSpacing"/>
      </w:pPr>
    </w:p>
    <w:p w14:paraId="78AFFF00" w14:textId="548C88C1" w:rsidR="006F15CF" w:rsidRPr="000A2D53" w:rsidRDefault="000508B8" w:rsidP="00543A53">
      <w:pPr>
        <w:pStyle w:val="NoSpacing"/>
        <w:rPr>
          <w:rFonts w:cs="Times New Roman"/>
        </w:rPr>
      </w:pPr>
      <w:r>
        <w:t xml:space="preserve">The </w:t>
      </w:r>
      <w:r w:rsidR="006F15CF">
        <w:t xml:space="preserve">ratio of the </w:t>
      </w:r>
      <w:proofErr w:type="gramStart"/>
      <w:r w:rsidR="000D5ACA" w:rsidRPr="000D5ACA">
        <w:rPr>
          <w:rFonts w:cs="Times New Roman"/>
          <w:i/>
          <w:iCs/>
        </w:rPr>
        <w:t>n</w:t>
      </w:r>
      <w:r w:rsidR="000D5ACA" w:rsidRPr="000D5ACA">
        <w:rPr>
          <w:rFonts w:cs="Times New Roman"/>
          <w:vertAlign w:val="subscript"/>
        </w:rPr>
        <w:t>m</w:t>
      </w:r>
      <w:r>
        <w:rPr>
          <w:rFonts w:cs="Times New Roman"/>
        </w:rPr>
        <w:t>(</w:t>
      </w:r>
      <w:proofErr w:type="gramEnd"/>
      <w:r>
        <w:rPr>
          <w:rFonts w:cs="Times New Roman"/>
        </w:rPr>
        <w:t>BET)</w:t>
      </w:r>
      <w:r>
        <w:rPr>
          <w:rFonts w:cs="Times New Roman"/>
          <w:b/>
          <w:bCs/>
        </w:rPr>
        <w:t>:</w:t>
      </w:r>
      <w:r w:rsidRPr="000508B8">
        <w:rPr>
          <w:rFonts w:cs="Times New Roman"/>
          <w:i/>
          <w:iCs/>
        </w:rPr>
        <w:t xml:space="preserve"> </w:t>
      </w:r>
      <w:r w:rsidRPr="000D5ACA">
        <w:rPr>
          <w:rFonts w:cs="Times New Roman"/>
          <w:i/>
          <w:iCs/>
        </w:rPr>
        <w:t>n</w:t>
      </w:r>
      <w:r w:rsidRPr="000D5ACA">
        <w:rPr>
          <w:rFonts w:cs="Times New Roman"/>
          <w:vertAlign w:val="subscript"/>
        </w:rPr>
        <w:t>m</w:t>
      </w:r>
      <w:r>
        <w:rPr>
          <w:rFonts w:cs="Times New Roman"/>
        </w:rPr>
        <w:t>(χ)</w:t>
      </w:r>
      <w:r w:rsidR="000D5ACA">
        <w:rPr>
          <w:rFonts w:cs="Times New Roman"/>
        </w:rPr>
        <w:t xml:space="preserve"> </w:t>
      </w:r>
      <w:r w:rsidR="006F15CF">
        <w:t>is nearly linear</w:t>
      </w:r>
      <w:r>
        <w:t xml:space="preserve"> with</w:t>
      </w:r>
      <w:r w:rsidR="000D5ACA">
        <w:t xml:space="preserve"> </w:t>
      </w:r>
      <w:r w:rsidR="00BF4B9F">
        <w:rPr>
          <w:i/>
          <w:iCs/>
        </w:rPr>
        <w:t>r</w:t>
      </w:r>
      <w:r w:rsidR="000D5ACA" w:rsidRPr="000D5ACA">
        <w:rPr>
          <w:vertAlign w:val="superscript"/>
        </w:rPr>
        <w:t>2</w:t>
      </w:r>
      <w:r w:rsidR="000D5ACA">
        <w:t xml:space="preserve"> = </w:t>
      </w:r>
      <w:r w:rsidR="00BF4B9F">
        <w:t>0.</w:t>
      </w:r>
      <w:r w:rsidR="000D5ACA">
        <w:t xml:space="preserve">9997 </w:t>
      </w:r>
      <w:r w:rsidR="008069ED">
        <w:t xml:space="preserve">between </w:t>
      </w:r>
      <w:r w:rsidR="008069ED">
        <w:rPr>
          <w:rFonts w:cs="Times New Roman"/>
        </w:rPr>
        <w:t>χ</w:t>
      </w:r>
      <w:r w:rsidR="008069ED">
        <w:t xml:space="preserve"> = -4.0 and -2.0 It then transitions to another linear portion from about </w:t>
      </w:r>
      <w:r w:rsidR="008069ED">
        <w:rPr>
          <w:rFonts w:cs="Times New Roman"/>
        </w:rPr>
        <w:t>χ</w:t>
      </w:r>
      <w:r w:rsidR="008069ED">
        <w:t xml:space="preserve"> = -1.5 to -0.6.</w:t>
      </w:r>
      <w:r w:rsidR="000A2D53">
        <w:t xml:space="preserve">  </w:t>
      </w:r>
      <w:r w:rsidR="008069ED">
        <w:t>Comparing T</w:t>
      </w:r>
      <w:r w:rsidR="008069ED">
        <w:rPr>
          <w:rFonts w:cs="Times New Roman"/>
          <w:b/>
          <w:bCs/>
        </w:rPr>
        <w:t>ables III and IV</w:t>
      </w:r>
      <w:r w:rsidR="000D5ACA">
        <w:rPr>
          <w:rFonts w:cs="Times New Roman"/>
        </w:rPr>
        <w:t xml:space="preserve"> </w:t>
      </w:r>
      <w:r w:rsidR="008069ED">
        <w:rPr>
          <w:rFonts w:cs="Times New Roman"/>
        </w:rPr>
        <w:t xml:space="preserve">the </w:t>
      </w:r>
      <w:proofErr w:type="gramStart"/>
      <w:r w:rsidR="008069ED" w:rsidRPr="000D5ACA">
        <w:rPr>
          <w:rFonts w:cs="Times New Roman"/>
          <w:i/>
          <w:iCs/>
        </w:rPr>
        <w:t>n</w:t>
      </w:r>
      <w:r w:rsidR="008069ED" w:rsidRPr="000D5ACA">
        <w:rPr>
          <w:rFonts w:cs="Times New Roman"/>
          <w:vertAlign w:val="subscript"/>
        </w:rPr>
        <w:t>m</w:t>
      </w:r>
      <w:r w:rsidR="008069ED">
        <w:rPr>
          <w:rFonts w:cs="Times New Roman"/>
        </w:rPr>
        <w:t>(</w:t>
      </w:r>
      <w:proofErr w:type="gramEnd"/>
      <w:r w:rsidR="008069ED">
        <w:rPr>
          <w:rFonts w:cs="Times New Roman"/>
        </w:rPr>
        <w:t>BET)</w:t>
      </w:r>
      <w:r w:rsidR="008069ED">
        <w:rPr>
          <w:rFonts w:cs="Times New Roman"/>
          <w:b/>
          <w:bCs/>
        </w:rPr>
        <w:t>:</w:t>
      </w:r>
      <w:r w:rsidR="008069ED" w:rsidRPr="000508B8">
        <w:rPr>
          <w:rFonts w:cs="Times New Roman"/>
          <w:i/>
          <w:iCs/>
        </w:rPr>
        <w:t xml:space="preserve"> </w:t>
      </w:r>
      <w:r w:rsidR="008069ED" w:rsidRPr="000D5ACA">
        <w:rPr>
          <w:rFonts w:cs="Times New Roman"/>
          <w:i/>
          <w:iCs/>
        </w:rPr>
        <w:t>n</w:t>
      </w:r>
      <w:r w:rsidR="008069ED" w:rsidRPr="000D5ACA">
        <w:rPr>
          <w:rFonts w:cs="Times New Roman"/>
          <w:vertAlign w:val="subscript"/>
        </w:rPr>
        <w:t>m</w:t>
      </w:r>
      <w:r w:rsidR="008069ED">
        <w:rPr>
          <w:rFonts w:cs="Times New Roman"/>
        </w:rPr>
        <w:t>(χ) values are very close</w:t>
      </w:r>
      <w:r w:rsidR="000A2D53">
        <w:rPr>
          <w:rFonts w:cs="Times New Roman"/>
        </w:rPr>
        <w:t>,</w:t>
      </w:r>
      <w:r w:rsidR="008069ED">
        <w:rPr>
          <w:rFonts w:cs="Times New Roman"/>
        </w:rPr>
        <w:t xml:space="preserve"> but comparing to </w:t>
      </w:r>
      <w:r w:rsidR="008069ED">
        <w:rPr>
          <w:rFonts w:cs="Times New Roman"/>
          <w:b/>
          <w:bCs/>
        </w:rPr>
        <w:t>Table II</w:t>
      </w:r>
      <w:r w:rsidR="008069ED">
        <w:rPr>
          <w:rFonts w:cs="Times New Roman"/>
        </w:rPr>
        <w:t>, there is a significant difference</w:t>
      </w:r>
      <w:r w:rsidR="000A2D53">
        <w:rPr>
          <w:rFonts w:cs="Times New Roman"/>
        </w:rPr>
        <w:t xml:space="preserve"> as the energy</w:t>
      </w:r>
      <w:r w:rsidR="00BF4B9F">
        <w:rPr>
          <w:rFonts w:cs="Times New Roman"/>
        </w:rPr>
        <w:t xml:space="preserve"> pre</w:t>
      </w:r>
      <w:r w:rsidR="00C02839">
        <w:rPr>
          <w:rFonts w:cs="Times New Roman"/>
        </w:rPr>
        <w:t>exponential</w:t>
      </w:r>
      <w:r w:rsidR="00BF4B9F">
        <w:rPr>
          <w:rFonts w:cs="Times New Roman"/>
        </w:rPr>
        <w:t xml:space="preserve"> constant</w:t>
      </w:r>
      <w:r w:rsidR="000A2D53">
        <w:rPr>
          <w:rFonts w:cs="Times New Roman"/>
        </w:rPr>
        <w:t xml:space="preserve">, </w:t>
      </w:r>
      <w:r w:rsidR="000A2D53">
        <w:rPr>
          <w:rFonts w:cs="Times New Roman"/>
          <w:i/>
          <w:iCs/>
        </w:rPr>
        <w:t>E</w:t>
      </w:r>
      <w:r w:rsidR="000A2D53" w:rsidRPr="000A2D53">
        <w:rPr>
          <w:rFonts w:cs="Times New Roman"/>
          <w:vertAlign w:val="subscript"/>
        </w:rPr>
        <w:t>a</w:t>
      </w:r>
      <w:r w:rsidR="000A2D53">
        <w:rPr>
          <w:rFonts w:cs="Times New Roman"/>
        </w:rPr>
        <w:t>, gets higher</w:t>
      </w:r>
      <w:r w:rsidR="008069ED">
        <w:rPr>
          <w:rFonts w:cs="Times New Roman"/>
        </w:rPr>
        <w:t>.</w:t>
      </w:r>
      <w:r w:rsidR="000A2D53">
        <w:rPr>
          <w:rFonts w:cs="Times New Roman"/>
        </w:rPr>
        <w:t xml:space="preserve">  Thus, it makes very little difference if one uses </w:t>
      </w:r>
      <w:r w:rsidR="000A2D53">
        <w:rPr>
          <w:rFonts w:cs="Times New Roman"/>
          <w:b/>
          <w:bCs/>
        </w:rPr>
        <w:t xml:space="preserve">Table III </w:t>
      </w:r>
      <w:r w:rsidR="000A2D53">
        <w:rPr>
          <w:rFonts w:cs="Times New Roman"/>
        </w:rPr>
        <w:t>or</w:t>
      </w:r>
      <w:r w:rsidR="000A2D53">
        <w:rPr>
          <w:rFonts w:cs="Times New Roman"/>
          <w:b/>
          <w:bCs/>
        </w:rPr>
        <w:t xml:space="preserve"> </w:t>
      </w:r>
      <w:r w:rsidR="000A2D53" w:rsidRPr="000A2D53">
        <w:rPr>
          <w:rFonts w:cs="Times New Roman"/>
          <w:b/>
          <w:bCs/>
        </w:rPr>
        <w:t>Table IV</w:t>
      </w:r>
      <w:r w:rsidR="000A2D53">
        <w:rPr>
          <w:rFonts w:cs="Times New Roman"/>
        </w:rPr>
        <w:t xml:space="preserve">, but it does make a difference if one uses </w:t>
      </w:r>
      <w:r w:rsidR="000A2D53" w:rsidRPr="000A2D53">
        <w:rPr>
          <w:rFonts w:cs="Times New Roman"/>
          <w:b/>
          <w:bCs/>
        </w:rPr>
        <w:t>Table I</w:t>
      </w:r>
      <w:r w:rsidR="0039058D">
        <w:rPr>
          <w:rFonts w:cs="Times New Roman"/>
          <w:b/>
          <w:bCs/>
        </w:rPr>
        <w:t>I</w:t>
      </w:r>
      <w:r w:rsidR="000A2D53">
        <w:rPr>
          <w:rFonts w:cs="Times New Roman"/>
        </w:rPr>
        <w:t xml:space="preserve">, </w:t>
      </w:r>
      <w:r w:rsidR="000A2D53">
        <w:rPr>
          <w:rFonts w:cs="Times New Roman"/>
        </w:rPr>
        <w:lastRenderedPageBreak/>
        <w:t>so it is import</w:t>
      </w:r>
      <w:r w:rsidR="00C02839">
        <w:rPr>
          <w:rFonts w:cs="Times New Roman"/>
        </w:rPr>
        <w:t>ant</w:t>
      </w:r>
      <w:r w:rsidR="000A2D53">
        <w:rPr>
          <w:rFonts w:cs="Times New Roman"/>
        </w:rPr>
        <w:t xml:space="preserve"> whether one uses the “old” Sing criteria or the “Rouquerol” criteria in the original publication.</w:t>
      </w:r>
    </w:p>
    <w:p w14:paraId="12D68E60" w14:textId="77777777" w:rsidR="008F6C04" w:rsidRDefault="008F6C04" w:rsidP="00543A53">
      <w:pPr>
        <w:pStyle w:val="NoSpacing"/>
        <w:rPr>
          <w:b/>
          <w:bCs/>
        </w:rPr>
      </w:pPr>
    </w:p>
    <w:p w14:paraId="4C20B797" w14:textId="77777777" w:rsidR="0042199D" w:rsidRDefault="0042199D" w:rsidP="00981E49">
      <w:pPr>
        <w:pStyle w:val="NoSpacing"/>
        <w:outlineLvl w:val="0"/>
        <w:rPr>
          <w:b/>
          <w:bCs/>
        </w:rPr>
      </w:pPr>
      <w:bookmarkStart w:id="59" w:name="_Toc171582150"/>
      <w:r w:rsidRPr="0042199D">
        <w:rPr>
          <w:b/>
          <w:bCs/>
        </w:rPr>
        <w:t>Discussion:</w:t>
      </w:r>
      <w:bookmarkEnd w:id="59"/>
    </w:p>
    <w:p w14:paraId="33454FBB" w14:textId="77777777" w:rsidR="002E4895" w:rsidRDefault="002E4895" w:rsidP="00543A53">
      <w:pPr>
        <w:pStyle w:val="NoSpacing"/>
      </w:pPr>
    </w:p>
    <w:p w14:paraId="1B1DDA9C" w14:textId="000ED222" w:rsidR="0048593B" w:rsidRPr="0048593B" w:rsidRDefault="0048593B" w:rsidP="0048593B">
      <w:pPr>
        <w:pStyle w:val="NoSpacing"/>
        <w:outlineLvl w:val="1"/>
        <w:rPr>
          <w:i/>
          <w:iCs/>
        </w:rPr>
      </w:pPr>
      <w:bookmarkStart w:id="60" w:name="_Toc171582151"/>
      <w:r w:rsidRPr="0048593B">
        <w:rPr>
          <w:i/>
          <w:iCs/>
        </w:rPr>
        <w:t>What this paper reveals:</w:t>
      </w:r>
      <w:bookmarkEnd w:id="60"/>
    </w:p>
    <w:p w14:paraId="4F36F291" w14:textId="77777777" w:rsidR="0048593B" w:rsidRDefault="0048593B" w:rsidP="00543A53">
      <w:pPr>
        <w:pStyle w:val="NoSpacing"/>
      </w:pPr>
    </w:p>
    <w:p w14:paraId="1E2FF6F8" w14:textId="6358580E" w:rsidR="0042199D" w:rsidRDefault="00E27DC1" w:rsidP="00543A53">
      <w:pPr>
        <w:pStyle w:val="NoSpacing"/>
      </w:pPr>
      <w:r>
        <w:t xml:space="preserve">It is fortunate for most practical </w:t>
      </w:r>
      <w:r w:rsidR="000E4F3C">
        <w:t>purposes that the BET and QM</w:t>
      </w:r>
      <w:r w:rsidR="007665F2">
        <w:rPr>
          <w:rFonts w:cs="Times New Roman"/>
        </w:rPr>
        <w:t>/ESW</w:t>
      </w:r>
      <w:r w:rsidR="000E4F3C">
        <w:t xml:space="preserve"> are monotonic.  </w:t>
      </w:r>
      <w:r w:rsidR="005C3A3B">
        <w:t>O</w:t>
      </w:r>
      <w:r w:rsidR="000E4F3C">
        <w:t>ne can use the “</w:t>
      </w:r>
      <w:r w:rsidR="000E4F3C">
        <w:rPr>
          <w:i/>
          <w:iCs/>
        </w:rPr>
        <w:t>C</w:t>
      </w:r>
      <w:r w:rsidR="000E4F3C">
        <w:t>” constant as a look-up on the tables.  Thus, t</w:t>
      </w:r>
      <w:r w:rsidR="0042199D">
        <w:t xml:space="preserve">he original object of this paper, which was to demonstrate under certain conditions that the information needed from the BET can be recovered with modelling </w:t>
      </w:r>
      <w:r w:rsidR="005C3A3B">
        <w:t xml:space="preserve">of some </w:t>
      </w:r>
      <w:r w:rsidR="0042199D">
        <w:t>with the simple equations determined by Quantum Mechanical/Statistical Dynamics</w:t>
      </w:r>
      <w:r w:rsidR="007F1569">
        <w:t xml:space="preserve"> (QM) as well as Excess Surface Work (ESW</w:t>
      </w:r>
      <w:r w:rsidR="0042199D">
        <w:t>.</w:t>
      </w:r>
      <w:r w:rsidR="007F1569">
        <w:t>)</w:t>
      </w:r>
      <w:r w:rsidR="0042199D">
        <w:t xml:space="preserve">  The</w:t>
      </w:r>
      <w:r w:rsidR="005C3A3B">
        <w:t>se</w:t>
      </w:r>
      <w:r w:rsidR="0042199D">
        <w:t xml:space="preserve"> equation</w:t>
      </w:r>
      <w:r w:rsidR="005C3A3B">
        <w:t>s</w:t>
      </w:r>
      <w:r w:rsidR="0042199D">
        <w:t xml:space="preserve"> are easy to apply and require no knowledge of QM</w:t>
      </w:r>
      <w:r w:rsidR="007665F2">
        <w:rPr>
          <w:rFonts w:cs="Times New Roman"/>
        </w:rPr>
        <w:t>/ESW</w:t>
      </w:r>
      <w:r w:rsidR="007F1569">
        <w:rPr>
          <w:rFonts w:cs="Times New Roman"/>
        </w:rPr>
        <w:t xml:space="preserve"> excess for the final equations</w:t>
      </w:r>
      <w:r w:rsidR="0042199D">
        <w:t>.  However</w:t>
      </w:r>
      <w:r w:rsidR="00BD72AF">
        <w:t>,</w:t>
      </w:r>
      <w:r w:rsidR="0042199D">
        <w:t xml:space="preserve"> a thorough understanding requires a paradigm shift in thinking once one get</w:t>
      </w:r>
      <w:r w:rsidR="000E4F3C">
        <w:t>s</w:t>
      </w:r>
      <w:r w:rsidR="0042199D">
        <w:t xml:space="preserve"> deeper involved.</w:t>
      </w:r>
    </w:p>
    <w:p w14:paraId="1AE429D2" w14:textId="77777777" w:rsidR="002E4895" w:rsidRDefault="002E4895" w:rsidP="00543A53">
      <w:pPr>
        <w:pStyle w:val="NoSpacing"/>
      </w:pPr>
    </w:p>
    <w:p w14:paraId="76CA76AD" w14:textId="77E38DD2" w:rsidR="007F1569" w:rsidRDefault="007F1569" w:rsidP="00543A53">
      <w:pPr>
        <w:pStyle w:val="NoSpacing"/>
      </w:pPr>
      <w:r>
        <w:t xml:space="preserve">For the non-porous, homogeneous isotherm the BET calculation </w:t>
      </w:r>
      <w:r w:rsidR="00152A4D">
        <w:t xml:space="preserve">usually has a very high standard deviation in the comparison of the calculation versus the actual </w:t>
      </w:r>
      <w:proofErr w:type="spellStart"/>
      <w:r w:rsidR="00152A4D">
        <w:rPr>
          <w:i/>
          <w:iCs/>
        </w:rPr>
        <w:t>n</w:t>
      </w:r>
      <w:r w:rsidR="00152A4D">
        <w:rPr>
          <w:vertAlign w:val="subscript"/>
        </w:rPr>
        <w:t>a</w:t>
      </w:r>
      <w:r w:rsidR="00152A4D">
        <w:t>.</w:t>
      </w:r>
      <w:proofErr w:type="spellEnd"/>
      <w:r w:rsidR="00152A4D">
        <w:t xml:space="preserve">  This is assuming t</w:t>
      </w:r>
      <w:r w:rsidR="00127E8D">
        <w:t>he</w:t>
      </w:r>
      <w:r w:rsidR="00152A4D">
        <w:t xml:space="preserve"> discard of </w:t>
      </w:r>
      <w:r w:rsidR="00152A4D">
        <w:rPr>
          <w:rFonts w:cs="Times New Roman"/>
        </w:rPr>
        <w:t>⅔</w:t>
      </w:r>
      <w:r w:rsidR="00152A4D">
        <w:t xml:space="preserve"> of the data.  </w:t>
      </w:r>
      <w:r>
        <w:t>The fact that it might yield a linear region in the BET transform is a matter of the choice of the transform</w:t>
      </w:r>
      <w:r w:rsidR="00152A4D">
        <w:t>,</w:t>
      </w:r>
      <w:r>
        <w:t xml:space="preserve"> which has a high component of pressure versus relative pressure.  Most mathematicians today would agree </w:t>
      </w:r>
      <w:r w:rsidR="0061693D">
        <w:t>t</w:t>
      </w:r>
      <w:r>
        <w:t>hat the BET transform and the misuse of linear regression is on very shaky grounds.  I</w:t>
      </w:r>
    </w:p>
    <w:p w14:paraId="0727E6E4" w14:textId="77777777" w:rsidR="007F1569" w:rsidRDefault="007F1569" w:rsidP="00543A53">
      <w:pPr>
        <w:pStyle w:val="NoSpacing"/>
      </w:pPr>
    </w:p>
    <w:p w14:paraId="31225D23" w14:textId="7AA04692" w:rsidR="003468B1" w:rsidRDefault="0042199D" w:rsidP="00543A53">
      <w:pPr>
        <w:pStyle w:val="NoSpacing"/>
      </w:pPr>
      <w:r>
        <w:t>The use of the BET to find the surface area on microporous</w:t>
      </w:r>
      <w:r w:rsidR="0039058D">
        <w:t xml:space="preserve"> adsorbent</w:t>
      </w:r>
      <w:r>
        <w:t xml:space="preserve"> is </w:t>
      </w:r>
      <w:r w:rsidR="007E23D9">
        <w:t>obviously</w:t>
      </w:r>
      <w:r>
        <w:t xml:space="preserve"> </w:t>
      </w:r>
      <w:r w:rsidR="007E23D9">
        <w:t>not valid</w:t>
      </w:r>
      <w:r w:rsidR="0048593B">
        <w:t xml:space="preserve">.  This is obvious from the information extracted from </w:t>
      </w:r>
      <w:r w:rsidR="00D4022D">
        <w:fldChar w:fldCharType="begin"/>
      </w:r>
      <w:r w:rsidR="00D4022D">
        <w:instrText xml:space="preserve"> REF _Ref159697471 \h </w:instrText>
      </w:r>
      <w:r w:rsidR="00D4022D">
        <w:fldChar w:fldCharType="separate"/>
      </w:r>
      <w:r w:rsidR="00D4022D" w:rsidRPr="002F7EE4">
        <w:rPr>
          <w:i/>
          <w:iCs/>
        </w:rPr>
        <w:t xml:space="preserve">Figure </w:t>
      </w:r>
      <w:r w:rsidR="00D4022D">
        <w:rPr>
          <w:i/>
          <w:iCs/>
          <w:noProof/>
        </w:rPr>
        <w:t>1</w:t>
      </w:r>
      <w:r w:rsidR="00D4022D">
        <w:fldChar w:fldCharType="end"/>
      </w:r>
      <w:r w:rsidR="00D4022D">
        <w:t xml:space="preserve"> through </w:t>
      </w:r>
      <w:r w:rsidR="00D4022D">
        <w:fldChar w:fldCharType="begin"/>
      </w:r>
      <w:r w:rsidR="00D4022D">
        <w:instrText xml:space="preserve"> REF _Ref171009871 \h </w:instrText>
      </w:r>
      <w:r w:rsidR="00D4022D">
        <w:fldChar w:fldCharType="separate"/>
      </w:r>
      <w:r w:rsidR="00D4022D" w:rsidRPr="00A32ADA">
        <w:rPr>
          <w:i/>
          <w:iCs/>
        </w:rPr>
        <w:t xml:space="preserve">Figure </w:t>
      </w:r>
      <w:r w:rsidR="00D4022D">
        <w:rPr>
          <w:i/>
          <w:iCs/>
          <w:noProof/>
        </w:rPr>
        <w:t>4</w:t>
      </w:r>
      <w:r w:rsidR="00D4022D">
        <w:fldChar w:fldCharType="end"/>
      </w:r>
      <w:r w:rsidR="00D4022D">
        <w:t xml:space="preserve">, </w:t>
      </w:r>
      <w:r w:rsidR="007E23D9">
        <w:t>since for the BET range either by the “old” criterion or the “Rouquerol” criterion does not yield a linear region</w:t>
      </w:r>
      <w:r w:rsidR="003F3641">
        <w:t xml:space="preserve"> of the BET plot</w:t>
      </w:r>
      <w:r w:rsidR="007E23D9">
        <w:t xml:space="preserve">.  </w:t>
      </w:r>
      <w:r w:rsidR="009040D1">
        <w:t>I</w:t>
      </w:r>
      <w:r w:rsidR="007E23D9">
        <w:t>n fact</w:t>
      </w:r>
      <w:r w:rsidR="008F6C04">
        <w:t>,</w:t>
      </w:r>
      <w:r w:rsidR="007E23D9">
        <w:t xml:space="preserve"> the isotherm is a log function in </w:t>
      </w:r>
      <w:r w:rsidR="007E23D9">
        <w:rPr>
          <w:i/>
          <w:iCs/>
        </w:rPr>
        <w:t>P</w:t>
      </w:r>
      <w:r w:rsidR="007E23D9">
        <w:t>/</w:t>
      </w:r>
      <w:r w:rsidR="007E23D9">
        <w:rPr>
          <w:i/>
          <w:iCs/>
        </w:rPr>
        <w:t>P</w:t>
      </w:r>
      <w:r w:rsidR="007E23D9" w:rsidRPr="007E23D9">
        <w:rPr>
          <w:vertAlign w:val="subscript"/>
        </w:rPr>
        <w:t>vap</w:t>
      </w:r>
      <w:r w:rsidR="007A4C4B">
        <w:t xml:space="preserve">. </w:t>
      </w:r>
      <w:r w:rsidR="00F00C10">
        <w:t xml:space="preserve"> </w:t>
      </w:r>
      <w:r w:rsidR="003468B1">
        <w:t xml:space="preserve">Neither the BET nor the </w:t>
      </w:r>
      <w:r w:rsidR="003468B1">
        <w:rPr>
          <w:rFonts w:cs="Times New Roman"/>
        </w:rPr>
        <w:t>χ</w:t>
      </w:r>
      <w:r w:rsidR="003468B1">
        <w:t xml:space="preserve">-plot can are valid for this, only the </w:t>
      </w:r>
      <w:bookmarkStart w:id="61" w:name="extra"/>
      <w:bookmarkEnd w:id="61"/>
      <w:r w:rsidR="007665F2">
        <w:t>QM</w:t>
      </w:r>
      <w:r w:rsidR="007665F2" w:rsidRPr="003058CB">
        <w:rPr>
          <w:i/>
          <w:iCs/>
        </w:rPr>
        <w:t xml:space="preserve"> </w:t>
      </w:r>
      <w:r w:rsidR="003058CB" w:rsidRPr="003058CB">
        <w:rPr>
          <w:i/>
          <w:iCs/>
        </w:rPr>
        <w:fldChar w:fldCharType="begin"/>
      </w:r>
      <w:r w:rsidR="003058CB" w:rsidRPr="003058CB">
        <w:rPr>
          <w:i/>
          <w:iCs/>
        </w:rPr>
        <w:instrText xml:space="preserve"> REF _Ref169163889 \h </w:instrText>
      </w:r>
      <w:r w:rsidR="003058CB">
        <w:rPr>
          <w:i/>
          <w:iCs/>
        </w:rPr>
        <w:instrText xml:space="preserve"> \* MERGEFORMAT </w:instrText>
      </w:r>
      <w:r w:rsidR="003058CB" w:rsidRPr="003058CB">
        <w:rPr>
          <w:i/>
          <w:iCs/>
        </w:rPr>
      </w:r>
      <w:r w:rsidR="00000000">
        <w:rPr>
          <w:i/>
          <w:iCs/>
        </w:rPr>
        <w:fldChar w:fldCharType="separate"/>
      </w:r>
      <w:r w:rsidR="003058CB" w:rsidRPr="003058CB">
        <w:rPr>
          <w:i/>
          <w:iCs/>
        </w:rPr>
        <w:fldChar w:fldCharType="end"/>
      </w:r>
      <w:r w:rsidR="003058CB" w:rsidRPr="003058CB">
        <w:rPr>
          <w:i/>
          <w:iCs/>
        </w:rPr>
        <w:fldChar w:fldCharType="begin"/>
      </w:r>
      <w:r w:rsidR="003058CB" w:rsidRPr="003058CB">
        <w:rPr>
          <w:i/>
          <w:iCs/>
        </w:rPr>
        <w:instrText xml:space="preserve"> REF _Ref169165296 \h </w:instrText>
      </w:r>
      <w:r w:rsidR="003058CB">
        <w:rPr>
          <w:i/>
          <w:iCs/>
        </w:rPr>
        <w:instrText xml:space="preserve"> \* MERGEFORMAT </w:instrText>
      </w:r>
      <w:r w:rsidR="003058CB" w:rsidRPr="003058CB">
        <w:rPr>
          <w:i/>
          <w:iCs/>
        </w:rPr>
      </w:r>
      <w:r w:rsidR="003058CB" w:rsidRPr="003058CB">
        <w:rPr>
          <w:i/>
          <w:iCs/>
        </w:rPr>
        <w:fldChar w:fldCharType="separate"/>
      </w:r>
      <w:r w:rsidR="003058CB" w:rsidRPr="003058CB">
        <w:rPr>
          <w:i/>
          <w:iCs/>
          <w:color w:val="000000" w:themeColor="text1"/>
          <w:szCs w:val="24"/>
        </w:rPr>
        <w:t xml:space="preserve">Equation </w:t>
      </w:r>
      <w:r w:rsidR="003058CB" w:rsidRPr="003058CB">
        <w:rPr>
          <w:i/>
          <w:iCs/>
          <w:noProof/>
          <w:color w:val="000000" w:themeColor="text1"/>
          <w:szCs w:val="24"/>
        </w:rPr>
        <w:t>8</w:t>
      </w:r>
      <w:r w:rsidR="003058CB" w:rsidRPr="003058CB">
        <w:rPr>
          <w:i/>
          <w:iCs/>
        </w:rPr>
        <w:fldChar w:fldCharType="end"/>
      </w:r>
      <w:r w:rsidR="003468B1" w:rsidRPr="00D4022D">
        <w:t xml:space="preserve"> </w:t>
      </w:r>
      <w:r w:rsidR="00D4022D" w:rsidRPr="00D4022D">
        <w:t>is valid</w:t>
      </w:r>
      <w:r w:rsidR="003468B1">
        <w:t>.  This means that the QM formulation is only hypothesis that can handle both forms.</w:t>
      </w:r>
    </w:p>
    <w:p w14:paraId="19E74E43" w14:textId="77777777" w:rsidR="007665F2" w:rsidRPr="003468B1" w:rsidRDefault="007665F2" w:rsidP="00543A53">
      <w:pPr>
        <w:pStyle w:val="NoSpacing"/>
      </w:pPr>
    </w:p>
    <w:p w14:paraId="0E5BE7C7" w14:textId="7CB94D29" w:rsidR="007E23D9" w:rsidRDefault="007E23D9" w:rsidP="00543A53">
      <w:pPr>
        <w:pStyle w:val="NoSpacing"/>
      </w:pPr>
      <w:r>
        <w:t xml:space="preserve">For mesoporosity, it is questionable if </w:t>
      </w:r>
      <w:r w:rsidR="003468B1">
        <w:t xml:space="preserve">the conversion </w:t>
      </w:r>
      <w:r>
        <w:t xml:space="preserve">is valid, depending how the </w:t>
      </w:r>
      <w:r w:rsidR="003F3641">
        <w:t xml:space="preserve">mesopore </w:t>
      </w:r>
      <w:r>
        <w:t xml:space="preserve">range lies </w:t>
      </w:r>
      <w:r w:rsidR="003468B1">
        <w:t>o</w:t>
      </w:r>
      <w:r>
        <w:t xml:space="preserve">n the </w:t>
      </w:r>
      <w:r>
        <w:rPr>
          <w:rFonts w:cs="Times New Roman"/>
        </w:rPr>
        <w:t>χ</w:t>
      </w:r>
      <w:r>
        <w:t xml:space="preserve">-plot.  </w:t>
      </w:r>
      <w:r w:rsidR="00E65E7D">
        <w:t>Mesoporosity</w:t>
      </w:r>
      <w:r w:rsidR="003468B1">
        <w:t xml:space="preserve"> is expected</w:t>
      </w:r>
      <w:r w:rsidR="00E65E7D">
        <w:t xml:space="preserve"> at </w:t>
      </w:r>
      <w:r w:rsidR="00E65E7D">
        <w:rPr>
          <w:rFonts w:cs="Times New Roman"/>
        </w:rPr>
        <w:t>χ</w:t>
      </w:r>
      <w:r w:rsidR="00E65E7D">
        <w:t xml:space="preserve"> values above 0</w:t>
      </w:r>
      <w:r w:rsidR="003058CB">
        <w:t xml:space="preserve"> where the energy of adsorption has </w:t>
      </w:r>
      <w:proofErr w:type="gramStart"/>
      <w:r w:rsidR="003058CB">
        <w:t>drop</w:t>
      </w:r>
      <w:proofErr w:type="gramEnd"/>
      <w:r w:rsidR="003058CB">
        <w:t xml:space="preserve"> below the energy of capillarity.  Thus, assuming </w:t>
      </w:r>
      <w:r w:rsidR="003058CB">
        <w:sym w:font="Symbol" w:char="F063"/>
      </w:r>
      <w:r w:rsidR="003058CB" w:rsidRPr="003058CB">
        <w:rPr>
          <w:rFonts w:cs="Times New Roman"/>
          <w:vertAlign w:val="subscript"/>
        </w:rPr>
        <w:t>ς</w:t>
      </w:r>
      <w:r w:rsidR="003058CB">
        <w:rPr>
          <w:rFonts w:cs="Times New Roman"/>
        </w:rPr>
        <w:t> </w:t>
      </w:r>
      <w:r w:rsidR="003058CB">
        <w:rPr>
          <w:rFonts w:cs="Times New Roman"/>
        </w:rPr>
        <w:sym w:font="Symbol" w:char="F0A3"/>
      </w:r>
      <w:r w:rsidR="003058CB">
        <w:rPr>
          <w:rFonts w:cs="Times New Roman"/>
        </w:rPr>
        <w:t> ~</w:t>
      </w:r>
      <w:r w:rsidR="003058CB">
        <w:rPr>
          <w:rFonts w:cs="Times New Roman"/>
        </w:rPr>
        <w:sym w:font="Symbol" w:char="F02D"/>
      </w:r>
      <w:r w:rsidR="003058CB">
        <w:rPr>
          <w:rFonts w:cs="Times New Roman"/>
        </w:rPr>
        <w:t>2</w:t>
      </w:r>
      <w:r w:rsidR="00E65E7D">
        <w:t xml:space="preserve"> </w:t>
      </w:r>
      <w:r w:rsidR="003058CB">
        <w:t>where there is enough</w:t>
      </w:r>
      <w:r w:rsidR="00AD067D">
        <w:t xml:space="preserve"> volume of adsorbate to start forming “layer” 3.  Thus, t</w:t>
      </w:r>
      <w:r w:rsidR="007665F2">
        <w:t xml:space="preserve">he conversion </w:t>
      </w:r>
      <w:r>
        <w:t>may by chance work for the total surface area</w:t>
      </w:r>
      <w:r w:rsidR="00E65E7D">
        <w:t xml:space="preserve"> below that value,</w:t>
      </w:r>
      <w:r>
        <w:t xml:space="preserve"> but never for </w:t>
      </w:r>
      <w:r w:rsidR="00AD067D">
        <w:t xml:space="preserve">the </w:t>
      </w:r>
      <w:r>
        <w:t xml:space="preserve">external area.  Since the BET does not give a correct value for the monolayer equivalence it may fit mesoporosity but </w:t>
      </w:r>
      <w:r w:rsidR="00E65E7D">
        <w:t xml:space="preserve">most likely </w:t>
      </w:r>
      <w:r>
        <w:t xml:space="preserve">yields the wrong answer for the dimensions of the pores.  The volume of most </w:t>
      </w:r>
      <w:r w:rsidR="000B6135">
        <w:t xml:space="preserve">mesopores may be approximately </w:t>
      </w:r>
      <w:proofErr w:type="gramStart"/>
      <w:r w:rsidR="000B6135">
        <w:t>correct</w:t>
      </w:r>
      <w:r w:rsidR="00AD067D">
        <w:t>ly</w:t>
      </w:r>
      <w:proofErr w:type="gramEnd"/>
      <w:r w:rsidR="000B6135">
        <w:t xml:space="preserve"> </w:t>
      </w:r>
      <w:r w:rsidR="00C02839">
        <w:t>using</w:t>
      </w:r>
      <w:r w:rsidR="000B6135">
        <w:t xml:space="preserve"> Gurvitsch rule, provided there is </w:t>
      </w:r>
      <w:r w:rsidR="003F3641">
        <w:t>an insignificant</w:t>
      </w:r>
      <w:r w:rsidR="009D2DD6">
        <w:t xml:space="preserve"> external </w:t>
      </w:r>
      <w:r w:rsidR="000B6135">
        <w:t>area.</w:t>
      </w:r>
    </w:p>
    <w:p w14:paraId="211126E8" w14:textId="77777777" w:rsidR="002E4895" w:rsidRDefault="002E4895" w:rsidP="00543A53">
      <w:pPr>
        <w:pStyle w:val="NoSpacing"/>
      </w:pPr>
    </w:p>
    <w:p w14:paraId="6BFB6218" w14:textId="44334710" w:rsidR="002733FB" w:rsidRPr="002733FB" w:rsidRDefault="002733FB" w:rsidP="002733FB">
      <w:pPr>
        <w:pStyle w:val="NoSpacing"/>
        <w:outlineLvl w:val="1"/>
        <w:rPr>
          <w:i/>
          <w:iCs/>
        </w:rPr>
      </w:pPr>
      <w:bookmarkStart w:id="62" w:name="_Toc171582152"/>
      <w:r>
        <w:rPr>
          <w:i/>
          <w:iCs/>
        </w:rPr>
        <w:t>Attempts to Standardize – the BETSI project.</w:t>
      </w:r>
      <w:bookmarkEnd w:id="62"/>
    </w:p>
    <w:p w14:paraId="3A1BF6A9" w14:textId="77777777" w:rsidR="002733FB" w:rsidRDefault="002733FB" w:rsidP="00543A53">
      <w:pPr>
        <w:pStyle w:val="NoSpacing"/>
      </w:pPr>
    </w:p>
    <w:p w14:paraId="6919E927" w14:textId="4BF79C70" w:rsidR="00D4022D" w:rsidRDefault="00D4022D" w:rsidP="00D4022D">
      <w:pPr>
        <w:pStyle w:val="NoSpacing"/>
      </w:pPr>
      <w:r>
        <w:t xml:space="preserve">The SIO/IUPAC had declared a certain feature that as being impossible, that is the presence of a threshold pressure in the isotherm.  There is no scientific basis for the prohibition and there have been multiple observations of this phenomenon.  Whatever the reasons were behind this declaration, they are outside of scientific logic. Polanyi discussed this rigid point of view in his </w:t>
      </w:r>
      <w:r>
        <w:lastRenderedPageBreak/>
        <w:t>last article in Science</w:t>
      </w:r>
      <w:r>
        <w:rPr>
          <w:rStyle w:val="EndnoteReference"/>
        </w:rPr>
        <w:endnoteReference w:id="39"/>
      </w:r>
      <w:r>
        <w:rPr>
          <w:rStyle w:val="FootnoteReference"/>
        </w:rPr>
        <w:footnoteReference w:id="16"/>
      </w:r>
      <w:r>
        <w:t>.  This article should be read by all who are tempted to block information contained in this publication</w:t>
      </w:r>
      <w:r>
        <w:rPr>
          <w:rStyle w:val="FootnoteReference"/>
        </w:rPr>
        <w:footnoteReference w:id="17"/>
      </w:r>
      <w:r>
        <w:t>.  A person who claims to be a scientist, or even an engineer, is required to keep an open mind.</w:t>
      </w:r>
    </w:p>
    <w:p w14:paraId="4B967EC3" w14:textId="77777777" w:rsidR="00D4022D" w:rsidRDefault="00D4022D" w:rsidP="00D4022D">
      <w:pPr>
        <w:pStyle w:val="NoSpacing"/>
      </w:pPr>
    </w:p>
    <w:p w14:paraId="11C600C5" w14:textId="427C2653" w:rsidR="002733FB" w:rsidRDefault="002733FB" w:rsidP="00543A53">
      <w:pPr>
        <w:pStyle w:val="NoSpacing"/>
      </w:pPr>
      <w:r>
        <w:t xml:space="preserve">The problems with the BET calculation has been plaguing the field since 1930.  The response has been to periodically issue another IUPAC publication on how to </w:t>
      </w:r>
    </w:p>
    <w:p w14:paraId="62B0B93E" w14:textId="7A846FD0" w:rsidR="002733FB" w:rsidRDefault="002733FB" w:rsidP="002733FB">
      <w:pPr>
        <w:pStyle w:val="NoSpacing"/>
        <w:numPr>
          <w:ilvl w:val="0"/>
          <w:numId w:val="34"/>
        </w:numPr>
      </w:pPr>
      <w:r>
        <w:t>get consistent results</w:t>
      </w:r>
    </w:p>
    <w:p w14:paraId="503E45B1" w14:textId="21967351" w:rsidR="002733FB" w:rsidRDefault="002733FB" w:rsidP="002733FB">
      <w:pPr>
        <w:pStyle w:val="NoSpacing"/>
        <w:numPr>
          <w:ilvl w:val="0"/>
          <w:numId w:val="34"/>
        </w:numPr>
      </w:pPr>
      <w:r>
        <w:t>how to treat the results or view them once they are obtained</w:t>
      </w:r>
    </w:p>
    <w:p w14:paraId="66A0C34E" w14:textId="317AB828" w:rsidR="002733FB" w:rsidRDefault="002733FB" w:rsidP="002733FB">
      <w:pPr>
        <w:pStyle w:val="NoSpacing"/>
        <w:numPr>
          <w:ilvl w:val="0"/>
          <w:numId w:val="34"/>
        </w:numPr>
      </w:pPr>
      <w:r>
        <w:t>keep using the BET and discourage any other approach, apparently because we a</w:t>
      </w:r>
      <w:r w:rsidR="00D4022D">
        <w:t>re</w:t>
      </w:r>
      <w:r>
        <w:t xml:space="preserve"> stuck with a backlog of results.</w:t>
      </w:r>
    </w:p>
    <w:p w14:paraId="5E90C0D7" w14:textId="77777777" w:rsidR="002733FB" w:rsidRDefault="002733FB" w:rsidP="00543A53">
      <w:pPr>
        <w:pStyle w:val="NoSpacing"/>
      </w:pPr>
    </w:p>
    <w:p w14:paraId="4144D04B" w14:textId="0B2F05C0" w:rsidR="002A63F1" w:rsidRPr="008406A8" w:rsidRDefault="00680D8E" w:rsidP="00543A53">
      <w:pPr>
        <w:pStyle w:val="NoSpacing"/>
      </w:pPr>
      <w:r>
        <w:t>Probably the most re</w:t>
      </w:r>
      <w:r w:rsidR="002A63F1">
        <w:t>c</w:t>
      </w:r>
      <w:r>
        <w:t>e</w:t>
      </w:r>
      <w:r w:rsidR="00857C98">
        <w:t>n</w:t>
      </w:r>
      <w:r>
        <w:t xml:space="preserve">t attempt to resurrect the BET </w:t>
      </w:r>
      <w:r w:rsidR="00E65E7D">
        <w:t xml:space="preserve">for an IUPAC/SIO standard </w:t>
      </w:r>
      <w:r>
        <w:t xml:space="preserve">is the BETSI </w:t>
      </w:r>
      <w:r w:rsidR="00A67551">
        <w:t>project</w:t>
      </w:r>
      <w:r w:rsidR="00A67551">
        <w:rPr>
          <w:rStyle w:val="EndnoteReference"/>
        </w:rPr>
        <w:endnoteReference w:id="40"/>
      </w:r>
      <w:r w:rsidR="00A67551">
        <w:t xml:space="preserve">.  </w:t>
      </w:r>
      <w:r>
        <w:t>The publication uses a lot of criteria for an acceptable fit and many researchers participated in the round-robin experiments.  In summary it was found that the result of using the “Rouquerol” criteria from the researcher</w:t>
      </w:r>
      <w:r w:rsidR="00E47A88">
        <w:t>s</w:t>
      </w:r>
      <w:r>
        <w:t xml:space="preserve"> vary from 6 % to 32% variation</w:t>
      </w:r>
      <w:r w:rsidR="000C204B">
        <w:t xml:space="preserve"> coefficient</w:t>
      </w:r>
      <w:r w:rsidR="00F50EE9">
        <w:rPr>
          <w:rStyle w:val="FootnoteReference"/>
        </w:rPr>
        <w:footnoteReference w:id="18"/>
      </w:r>
      <w:r w:rsidR="000C204B">
        <w:t xml:space="preserve"> (or </w:t>
      </w:r>
      <w:r w:rsidR="000C204B">
        <w:rPr>
          <w:rFonts w:cs="Times New Roman"/>
        </w:rPr>
        <w:t>σ = 24% to 57%)</w:t>
      </w:r>
      <w:r>
        <w:t>, but application also varied.  The BETSI program which attempts to optimizes the individual data sets</w:t>
      </w:r>
      <w:r w:rsidR="00F50EE9">
        <w:t xml:space="preserve"> with </w:t>
      </w:r>
      <w:r w:rsidR="00F50EE9" w:rsidRPr="0039058D">
        <w:rPr>
          <w:i/>
          <w:iCs/>
        </w:rPr>
        <w:t>point selection</w:t>
      </w:r>
      <w:r w:rsidR="00E47A88">
        <w:rPr>
          <w:i/>
          <w:iCs/>
        </w:rPr>
        <w:t xml:space="preserve"> </w:t>
      </w:r>
      <w:r w:rsidR="00E47A88">
        <w:t>(?)</w:t>
      </w:r>
      <w:r>
        <w:t xml:space="preserve"> is more consistent from</w:t>
      </w:r>
      <w:r w:rsidR="00F50EE9">
        <w:t xml:space="preserve"> 0.01% to </w:t>
      </w:r>
      <w:r w:rsidR="000C204B">
        <w:t xml:space="preserve">~8 % (or </w:t>
      </w:r>
      <w:r w:rsidR="000C204B">
        <w:rPr>
          <w:rFonts w:cs="Times New Roman"/>
        </w:rPr>
        <w:t>σ</w:t>
      </w:r>
      <w:r w:rsidR="000C204B">
        <w:t xml:space="preserve"> = 1% to 28%.)  (</w:t>
      </w:r>
      <w:r w:rsidR="001D748F">
        <w:t>For comparison, a</w:t>
      </w:r>
      <w:r w:rsidR="000C204B">
        <w:t>cceptable deviation for the QM</w:t>
      </w:r>
      <w:r w:rsidR="00A970D9">
        <w:rPr>
          <w:rFonts w:cs="Times New Roman"/>
        </w:rPr>
        <w:t>/ESW</w:t>
      </w:r>
      <w:r w:rsidR="000C204B">
        <w:t xml:space="preserve"> acceptability i</w:t>
      </w:r>
      <w:r w:rsidR="002A63F1">
        <w:t>s</w:t>
      </w:r>
      <w:r w:rsidR="00C3307C">
        <w:t xml:space="preserve"> </w:t>
      </w:r>
      <w:r w:rsidR="00C3307C">
        <w:rPr>
          <w:rFonts w:cs="Times New Roman"/>
        </w:rPr>
        <w:t>σ</w:t>
      </w:r>
      <w:r w:rsidR="000C204B">
        <w:t xml:space="preserve"> &lt; 1%.</w:t>
      </w:r>
      <w:r w:rsidR="002A63F1">
        <w:t xml:space="preserve"> </w:t>
      </w:r>
      <w:r w:rsidR="00DF3159">
        <w:t>o</w:t>
      </w:r>
      <w:r w:rsidR="002A63F1">
        <w:t>f the full range of all data.</w:t>
      </w:r>
      <w:r w:rsidR="000C204B">
        <w:t>)</w:t>
      </w:r>
      <w:r w:rsidR="008406A8">
        <w:t xml:space="preserve">  </w:t>
      </w:r>
    </w:p>
    <w:p w14:paraId="6EFA4537" w14:textId="77777777" w:rsidR="00C3307C" w:rsidRDefault="00C3307C" w:rsidP="00543A53">
      <w:pPr>
        <w:pStyle w:val="NoSpacing"/>
      </w:pPr>
    </w:p>
    <w:p w14:paraId="07F79435" w14:textId="058F68B9" w:rsidR="00222F80" w:rsidRDefault="00222F80" w:rsidP="00543A53">
      <w:pPr>
        <w:pStyle w:val="NoSpacing"/>
      </w:pPr>
      <w:r>
        <w:t xml:space="preserve">The </w:t>
      </w:r>
      <w:r w:rsidR="002808C5">
        <w:t>rationale f</w:t>
      </w:r>
      <w:r>
        <w:t>or the BET</w:t>
      </w:r>
      <w:r w:rsidR="002808C5" w:rsidRPr="002808C5">
        <w:t>SI</w:t>
      </w:r>
      <w:r w:rsidR="002808C5">
        <w:t xml:space="preserve"> consider</w:t>
      </w:r>
      <w:r w:rsidR="002A63F1">
        <w:t>s</w:t>
      </w:r>
      <w:r w:rsidR="002808C5">
        <w:t xml:space="preserve"> two reasons 1) the </w:t>
      </w:r>
      <w:r w:rsidR="004025A7">
        <w:t>“</w:t>
      </w:r>
      <w:r w:rsidR="002808C5">
        <w:t>Rouquerol</w:t>
      </w:r>
      <w:r w:rsidR="004025A7">
        <w:t>”</w:t>
      </w:r>
      <w:r w:rsidR="002808C5">
        <w:t xml:space="preserve"> </w:t>
      </w:r>
      <w:r w:rsidR="004025A7">
        <w:t>criteria are</w:t>
      </w:r>
      <w:r w:rsidR="002808C5">
        <w:t xml:space="preserve"> indeterminate and 2) </w:t>
      </w:r>
      <w:r w:rsidR="004025A7">
        <w:t xml:space="preserve">They are </w:t>
      </w:r>
      <w:r w:rsidR="002808C5">
        <w:t xml:space="preserve">too cumbersome to use.  </w:t>
      </w:r>
      <w:r w:rsidR="00DF3159">
        <w:t>(The use in this</w:t>
      </w:r>
      <w:r w:rsidR="009451AE">
        <w:t xml:space="preserve"> present</w:t>
      </w:r>
      <w:r w:rsidR="00DF3159">
        <w:t xml:space="preserve"> report disputes the latter claim. </w:t>
      </w:r>
      <w:r w:rsidR="00830051">
        <w:t xml:space="preserve"> </w:t>
      </w:r>
      <w:r w:rsidR="00DF3159">
        <w:t>The reaction to the first reason is, “What?”</w:t>
      </w:r>
      <w:r w:rsidR="0039058D">
        <w:rPr>
          <w:rStyle w:val="FootnoteReference"/>
        </w:rPr>
        <w:footnoteReference w:id="19"/>
      </w:r>
      <w:r w:rsidR="00293D28">
        <w:t xml:space="preserve">  Did they observe the threshold pressure and not report it?</w:t>
      </w:r>
      <w:r w:rsidR="00877489">
        <w:t xml:space="preserve">  Indeed, perhaps creating a low</w:t>
      </w:r>
      <w:r w:rsidR="00D4022D">
        <w:t>-</w:t>
      </w:r>
      <w:r w:rsidR="00877489">
        <w:t>pressure limit could resolve their reproducibility problem.</w:t>
      </w:r>
      <w:r w:rsidR="00DF3159">
        <w:t xml:space="preserve">)  </w:t>
      </w:r>
      <w:r w:rsidR="002808C5">
        <w:t xml:space="preserve">This report reputes both arguments, unless the material is microporous, in which case the BET is invalid anyway.  It also cannot usually be used for mesoporosity since to total surface is not available with the onset of mesoporosity, usually a little above </w:t>
      </w:r>
      <w:r w:rsidR="002808C5">
        <w:rPr>
          <w:rFonts w:cs="Times New Roman"/>
        </w:rPr>
        <w:t>χ</w:t>
      </w:r>
      <w:r w:rsidR="002808C5">
        <w:t xml:space="preserve"> = 0, which is a discussion </w:t>
      </w:r>
      <w:r w:rsidR="002808C5">
        <w:lastRenderedPageBreak/>
        <w:t>for another publication.  The selection of a few “valid” points is also a troubling problem</w:t>
      </w:r>
      <w:r w:rsidR="004025A7">
        <w:t xml:space="preserve"> after all the </w:t>
      </w:r>
      <w:r w:rsidR="001D748F">
        <w:t>“Rouquerol”</w:t>
      </w:r>
      <w:r w:rsidR="002B02B3">
        <w:t xml:space="preserve"> </w:t>
      </w:r>
      <w:r w:rsidR="004025A7">
        <w:t>criteria require</w:t>
      </w:r>
      <w:r w:rsidR="002B02B3">
        <w:t>s</w:t>
      </w:r>
      <w:r w:rsidR="004025A7">
        <w:t xml:space="preserve"> 10 points minimum</w:t>
      </w:r>
      <w:r w:rsidR="002808C5">
        <w:t>.</w:t>
      </w:r>
    </w:p>
    <w:p w14:paraId="13DDD912" w14:textId="77777777" w:rsidR="008406A8" w:rsidRDefault="008406A8" w:rsidP="00543A53">
      <w:pPr>
        <w:pStyle w:val="NoSpacing"/>
      </w:pPr>
    </w:p>
    <w:p w14:paraId="0192A11D" w14:textId="75D3A2D4" w:rsidR="008406A8" w:rsidRDefault="008406A8" w:rsidP="00543A53">
      <w:pPr>
        <w:pStyle w:val="NoSpacing"/>
      </w:pPr>
      <w:r>
        <w:t xml:space="preserve">The scatter reported is not of </w:t>
      </w:r>
      <w:r>
        <w:rPr>
          <w:i/>
          <w:iCs/>
        </w:rPr>
        <w:t>n</w:t>
      </w:r>
      <w:r>
        <w:rPr>
          <w:vertAlign w:val="subscript"/>
        </w:rPr>
        <w:t>m</w:t>
      </w:r>
      <w:r>
        <w:t xml:space="preserve"> but rather the reproducibility from Laboratory to Laboratory. One would predict that all the laboratories should all get the same answer, even if the answers are wrong, especially if the same samples are used.  Unfortunately, it appears that this is a very uncontrolled experiment.</w:t>
      </w:r>
    </w:p>
    <w:p w14:paraId="59E5CCB0" w14:textId="77777777" w:rsidR="008406A8" w:rsidRDefault="008406A8" w:rsidP="00543A53">
      <w:pPr>
        <w:pStyle w:val="NoSpacing"/>
      </w:pPr>
    </w:p>
    <w:p w14:paraId="3FFD6941" w14:textId="1C299153" w:rsidR="00A67551" w:rsidRDefault="002A63F1" w:rsidP="00543A53">
      <w:pPr>
        <w:pStyle w:val="NoSpacing"/>
      </w:pPr>
      <w:r>
        <w:t>For the BE</w:t>
      </w:r>
      <w:r w:rsidR="00743732">
        <w:t>T</w:t>
      </w:r>
      <w:r>
        <w:t xml:space="preserve">SI project </w:t>
      </w:r>
      <w:r w:rsidR="000F78F2">
        <w:t>it</w:t>
      </w:r>
      <w:r>
        <w:t xml:space="preserve"> appears </w:t>
      </w:r>
      <w:r w:rsidR="000F78F2">
        <w:t xml:space="preserve">to </w:t>
      </w:r>
      <w:r w:rsidR="004025A7">
        <w:t xml:space="preserve">allow </w:t>
      </w:r>
      <w:r>
        <w:t>very loose criteria for the experiments.  For example, there is no mention of temperature control nor i</w:t>
      </w:r>
      <w:r w:rsidR="00ED7F65">
        <w:t>s</w:t>
      </w:r>
      <w:r>
        <w:t xml:space="preserve"> the Knudsen effect</w:t>
      </w:r>
      <w:r w:rsidR="00ED7F65">
        <w:t xml:space="preserve"> </w:t>
      </w:r>
      <w:r>
        <w:t>checked or why it is not.</w:t>
      </w:r>
      <w:r w:rsidR="00743732">
        <w:t xml:space="preserve">  Are the instruments gravimetric or volumetric and are the cautionary note</w:t>
      </w:r>
      <w:r w:rsidR="004025A7">
        <w:t>s</w:t>
      </w:r>
      <w:r w:rsidR="00743732">
        <w:t xml:space="preserve"> about each followed</w:t>
      </w:r>
      <w:r w:rsidR="000F78F2">
        <w:t>?</w:t>
      </w:r>
      <w:r w:rsidR="001F7B06">
        <w:t xml:space="preserve">  Some supply the commercial model, but were there any modifications? </w:t>
      </w:r>
      <w:r w:rsidR="00743732">
        <w:t xml:space="preserve"> Since probably most used the volumetric technique the concerns about the temperature and the Knudsen effect are especially relevant</w:t>
      </w:r>
      <w:r w:rsidR="00243594">
        <w:t>, however, it</w:t>
      </w:r>
      <w:r w:rsidR="000F78F2">
        <w:t xml:space="preserve"> is </w:t>
      </w:r>
      <w:r w:rsidR="008406A8">
        <w:t xml:space="preserve">unlikely </w:t>
      </w:r>
      <w:r w:rsidR="000F78F2">
        <w:t>most instrument</w:t>
      </w:r>
      <w:r w:rsidR="008406A8">
        <w:t xml:space="preserve"> </w:t>
      </w:r>
      <w:r w:rsidR="000F78F2">
        <w:t>measure</w:t>
      </w:r>
      <w:r w:rsidR="00243594">
        <w:t>d</w:t>
      </w:r>
      <w:r w:rsidR="000F78F2">
        <w:t xml:space="preserve"> </w:t>
      </w:r>
      <w:r w:rsidR="000F78F2" w:rsidRPr="00DF3159">
        <w:t xml:space="preserve">into the HV or UHV.  </w:t>
      </w:r>
      <w:r w:rsidR="00743732" w:rsidRPr="00DF3159">
        <w:t>The only mention of quality control was “…</w:t>
      </w:r>
      <w:r w:rsidR="00743732" w:rsidRPr="00DF3159">
        <w:rPr>
          <w:i/>
          <w:iCs/>
        </w:rPr>
        <w:t xml:space="preserve">60 Laboratories with expertise in adsorption science </w:t>
      </w:r>
      <w:r w:rsidR="00743732">
        <w:t>…”  This leaves the quality control to the level of zero certainty.</w:t>
      </w:r>
    </w:p>
    <w:p w14:paraId="058AA4BB" w14:textId="77777777" w:rsidR="008406A8" w:rsidRDefault="008406A8" w:rsidP="00543A53">
      <w:pPr>
        <w:pStyle w:val="NoSpacing"/>
      </w:pPr>
    </w:p>
    <w:p w14:paraId="77BBBEB2" w14:textId="72A048DA" w:rsidR="002808C5" w:rsidRDefault="00E42DD5" w:rsidP="00543A53">
      <w:pPr>
        <w:pStyle w:val="NoSpacing"/>
      </w:pPr>
      <w:r>
        <w:t xml:space="preserve">Aside from </w:t>
      </w:r>
      <w:r w:rsidR="002B02B3">
        <w:t>the control questions, t</w:t>
      </w:r>
      <w:r w:rsidR="00A67551">
        <w:t xml:space="preserve">he digital data </w:t>
      </w:r>
      <w:r w:rsidR="000F78F2">
        <w:t xml:space="preserve">might </w:t>
      </w:r>
      <w:r w:rsidR="00A67551">
        <w:t>be useful</w:t>
      </w:r>
      <w:r w:rsidR="002131D3">
        <w:t xml:space="preserve"> </w:t>
      </w:r>
      <w:r w:rsidR="001D748F">
        <w:t xml:space="preserve">and </w:t>
      </w:r>
      <w:r w:rsidR="00A67551">
        <w:t>are available from the corresponding author</w:t>
      </w:r>
      <w:r w:rsidR="001D748F">
        <w:t>.</w:t>
      </w:r>
    </w:p>
    <w:p w14:paraId="2BDA8EA2" w14:textId="77777777" w:rsidR="00243594" w:rsidRDefault="00243594" w:rsidP="00543A53">
      <w:pPr>
        <w:pStyle w:val="NoSpacing"/>
      </w:pPr>
    </w:p>
    <w:p w14:paraId="347D7C5E" w14:textId="52DECCCD" w:rsidR="00243594" w:rsidRPr="004A2B35" w:rsidRDefault="00243594" w:rsidP="00243594">
      <w:pPr>
        <w:pStyle w:val="NoSpacing"/>
        <w:outlineLvl w:val="1"/>
        <w:rPr>
          <w:i/>
          <w:iCs/>
        </w:rPr>
      </w:pPr>
      <w:bookmarkStart w:id="64" w:name="_Toc171582153"/>
      <w:r w:rsidRPr="004A2B35">
        <w:rPr>
          <w:i/>
          <w:iCs/>
        </w:rPr>
        <w:t>The question of n</w:t>
      </w:r>
      <w:r w:rsidRPr="004A2B35">
        <w:rPr>
          <w:i/>
          <w:iCs/>
          <w:vertAlign w:val="subscript"/>
        </w:rPr>
        <w:t>m</w:t>
      </w:r>
      <w:r w:rsidRPr="004A2B35">
        <w:rPr>
          <w:i/>
          <w:iCs/>
        </w:rPr>
        <w:t xml:space="preserve"> conversion to A:</w:t>
      </w:r>
      <w:bookmarkEnd w:id="64"/>
    </w:p>
    <w:p w14:paraId="23A81FEE" w14:textId="77777777" w:rsidR="00A92C60" w:rsidRPr="002808C5" w:rsidRDefault="00A92C60" w:rsidP="00543A53">
      <w:pPr>
        <w:pStyle w:val="NoSpacing"/>
        <w:rPr>
          <w:i/>
          <w:iCs/>
        </w:rPr>
      </w:pPr>
    </w:p>
    <w:p w14:paraId="788FBBEE" w14:textId="6DF859F7" w:rsidR="0042199D" w:rsidRDefault="00BD72AF" w:rsidP="00543A53">
      <w:pPr>
        <w:pStyle w:val="NoSpacing"/>
      </w:pPr>
      <w:r>
        <w:t xml:space="preserve">A final weak assumption for the BET is </w:t>
      </w:r>
      <w:r w:rsidR="000F78F2">
        <w:t>the</w:t>
      </w:r>
      <w:r>
        <w:t xml:space="preserve"> conversion of monolayer equivalence to surface area.  The SIO/IUPAC convention is </w:t>
      </w:r>
      <w:r w:rsidR="000F78F2">
        <w:t xml:space="preserve">widely </w:t>
      </w:r>
      <w:r>
        <w:t>used but it surely cannot be accurate. Th</w:t>
      </w:r>
      <w:r w:rsidR="00857C98">
        <w:t>is</w:t>
      </w:r>
      <w:r>
        <w:t xml:space="preserve"> step has not been officially taken by the QM</w:t>
      </w:r>
      <w:r w:rsidR="00A970D9">
        <w:rPr>
          <w:rFonts w:cs="Times New Roman"/>
        </w:rPr>
        <w:t>/ESW</w:t>
      </w:r>
      <w:r>
        <w:t xml:space="preserve"> and thus recent publications have stopped at the monolayer equivalence.</w:t>
      </w:r>
      <w:r w:rsidR="00857C98">
        <w:t xml:space="preserve">  (Sometimes for the comfort of the reader words such as “</w:t>
      </w:r>
      <w:r w:rsidR="0029460E">
        <w:t>according to</w:t>
      </w:r>
      <w:r w:rsidR="00857C98">
        <w:t xml:space="preserve"> the IUPAC convention” a surface area is quoted.)</w:t>
      </w:r>
      <w:r>
        <w:t xml:space="preserve">  This step will require QM</w:t>
      </w:r>
      <w:r w:rsidR="00A970D9">
        <w:rPr>
          <w:rFonts w:cs="Times New Roman"/>
        </w:rPr>
        <w:t>/ESW</w:t>
      </w:r>
      <w:r>
        <w:t xml:space="preserve"> calculations that depend upon </w:t>
      </w:r>
      <w:r>
        <w:rPr>
          <w:b/>
          <w:bCs/>
        </w:rPr>
        <w:t>E</w:t>
      </w:r>
      <w:r w:rsidRPr="00BD72AF">
        <w:rPr>
          <w:vertAlign w:val="subscript"/>
        </w:rPr>
        <w:t>g</w:t>
      </w:r>
      <w:r w:rsidRPr="00BD72AF">
        <w:rPr>
          <w:vertAlign w:val="superscript"/>
        </w:rPr>
        <w:t>a</w:t>
      </w:r>
      <w:r>
        <w:rPr>
          <w:vertAlign w:val="superscript"/>
        </w:rPr>
        <w:t xml:space="preserve"> </w:t>
      </w:r>
      <w:r w:rsidRPr="00BD72AF">
        <w:t>function</w:t>
      </w:r>
      <w:r>
        <w:t xml:space="preserve"> and perhaps other considerations.</w:t>
      </w:r>
      <w:r w:rsidR="00E1370E">
        <w:t xml:space="preserve">  </w:t>
      </w:r>
      <w:r w:rsidR="00857C98">
        <w:t>However, this step is</w:t>
      </w:r>
      <w:r w:rsidR="00464C79">
        <w:t xml:space="preserve"> probably</w:t>
      </w:r>
      <w:r w:rsidR="00857C98">
        <w:t xml:space="preserve"> more for psychological reasons, not for scientific reasons.</w:t>
      </w:r>
    </w:p>
    <w:p w14:paraId="108A8438" w14:textId="77777777" w:rsidR="00A970D9" w:rsidRDefault="00A970D9" w:rsidP="00543A53">
      <w:pPr>
        <w:pStyle w:val="NoSpacing"/>
      </w:pPr>
    </w:p>
    <w:p w14:paraId="4764757F" w14:textId="4CF67E31" w:rsidR="002733FB" w:rsidRPr="002733FB" w:rsidRDefault="002733FB" w:rsidP="002733FB">
      <w:pPr>
        <w:pStyle w:val="NoSpacing"/>
        <w:outlineLvl w:val="1"/>
        <w:rPr>
          <w:i/>
          <w:iCs/>
        </w:rPr>
      </w:pPr>
      <w:bookmarkStart w:id="65" w:name="_Toc171582154"/>
      <w:r>
        <w:rPr>
          <w:i/>
          <w:iCs/>
        </w:rPr>
        <w:t>General Recommendations</w:t>
      </w:r>
      <w:bookmarkEnd w:id="65"/>
    </w:p>
    <w:p w14:paraId="3203DE4C" w14:textId="77777777" w:rsidR="002733FB" w:rsidRDefault="002733FB" w:rsidP="00543A53">
      <w:pPr>
        <w:pStyle w:val="NoSpacing"/>
      </w:pPr>
    </w:p>
    <w:p w14:paraId="17CB9C0A" w14:textId="01BA7593" w:rsidR="009451AE" w:rsidRDefault="00203B90" w:rsidP="00543A53">
      <w:pPr>
        <w:pStyle w:val="NoSpacing"/>
      </w:pPr>
      <w:r>
        <w:t xml:space="preserve">What is the recommendation from </w:t>
      </w:r>
      <w:r w:rsidR="002733FB">
        <w:t xml:space="preserve">present </w:t>
      </w:r>
      <w:r>
        <w:t>investigation</w:t>
      </w:r>
      <w:r w:rsidR="00882786">
        <w:t>?</w:t>
      </w:r>
      <w:r>
        <w:t xml:space="preserve">  It is not to switch from the BET to the QM</w:t>
      </w:r>
      <w:r w:rsidR="00A970D9">
        <w:rPr>
          <w:rFonts w:cs="Times New Roman"/>
        </w:rPr>
        <w:t>/ESW</w:t>
      </w:r>
      <w:r>
        <w:t xml:space="preserve"> method</w:t>
      </w:r>
      <w:r w:rsidR="00882786">
        <w:t xml:space="preserve">, today. </w:t>
      </w:r>
      <w:r w:rsidR="00A710C8">
        <w:t xml:space="preserve"> </w:t>
      </w:r>
      <w:r w:rsidR="00882786">
        <w:t>T</w:t>
      </w:r>
      <w:r>
        <w:t>he QM</w:t>
      </w:r>
      <w:r w:rsidR="00A970D9">
        <w:rPr>
          <w:rFonts w:cs="Times New Roman"/>
        </w:rPr>
        <w:t>/ESW</w:t>
      </w:r>
      <w:r>
        <w:t xml:space="preserve"> formulation has not been tested enough, nor for that matter any other </w:t>
      </w:r>
      <w:r w:rsidR="000E4AD8">
        <w:t xml:space="preserve">of </w:t>
      </w:r>
      <w:r w:rsidR="0039058D">
        <w:t>many</w:t>
      </w:r>
      <w:r w:rsidR="000E4AD8">
        <w:t xml:space="preserve"> </w:t>
      </w:r>
      <w:r>
        <w:t>proposals</w:t>
      </w:r>
      <w:r w:rsidR="0039058D">
        <w:t xml:space="preserve"> put forth</w:t>
      </w:r>
      <w:r>
        <w:t xml:space="preserve">.  </w:t>
      </w:r>
      <w:r w:rsidR="000E4AD8">
        <w:t>(</w:t>
      </w:r>
      <w:r w:rsidR="000F78F2">
        <w:t>…and</w:t>
      </w:r>
      <w:r w:rsidR="00882786">
        <w:t xml:space="preserve"> w</w:t>
      </w:r>
      <w:r w:rsidR="000E4AD8">
        <w:t xml:space="preserve">hy are there so many others?) </w:t>
      </w:r>
      <w:r w:rsidR="00882786">
        <w:t xml:space="preserve"> </w:t>
      </w:r>
      <w:r w:rsidR="009451AE">
        <w:t>So</w:t>
      </w:r>
      <w:r w:rsidR="009B6A1F">
        <w:t>,</w:t>
      </w:r>
      <w:r w:rsidR="009451AE">
        <w:t xml:space="preserve"> the recommendations are:</w:t>
      </w:r>
    </w:p>
    <w:p w14:paraId="58C2E6AE" w14:textId="77777777" w:rsidR="009451AE" w:rsidRPr="009451AE" w:rsidRDefault="009451AE" w:rsidP="009451AE">
      <w:pPr>
        <w:pStyle w:val="NoSpacing"/>
        <w:numPr>
          <w:ilvl w:val="0"/>
          <w:numId w:val="27"/>
        </w:numPr>
        <w:rPr>
          <w:b/>
          <w:bCs/>
        </w:rPr>
      </w:pPr>
      <w:r>
        <w:t>M</w:t>
      </w:r>
      <w:r w:rsidR="00A710C8">
        <w:t xml:space="preserve">ore experimental data </w:t>
      </w:r>
      <w:r>
        <w:t xml:space="preserve">is needed </w:t>
      </w:r>
      <w:r w:rsidR="00A710C8">
        <w:t>with critical test</w:t>
      </w:r>
      <w:r w:rsidR="000F78F2">
        <w:t>s</w:t>
      </w:r>
      <w:r w:rsidR="00A710C8">
        <w:t xml:space="preserve"> being the goal rather tha</w:t>
      </w:r>
      <w:r w:rsidR="00ED7F65">
        <w:t>n</w:t>
      </w:r>
      <w:r w:rsidR="00A710C8">
        <w:t xml:space="preserve"> simply accumulating more, perhaps useless, data.  </w:t>
      </w:r>
    </w:p>
    <w:p w14:paraId="3165565C" w14:textId="5858DAC0" w:rsidR="009451AE" w:rsidRPr="009451AE" w:rsidRDefault="009451AE" w:rsidP="009451AE">
      <w:pPr>
        <w:pStyle w:val="NoSpacing"/>
        <w:numPr>
          <w:ilvl w:val="0"/>
          <w:numId w:val="27"/>
        </w:numPr>
        <w:rPr>
          <w:b/>
          <w:bCs/>
        </w:rPr>
      </w:pPr>
      <w:r>
        <w:t>P</w:t>
      </w:r>
      <w:r w:rsidR="00A710C8">
        <w:t>ublish all the raw data</w:t>
      </w:r>
      <w:r w:rsidR="009B6A1F">
        <w:t xml:space="preserve"> </w:t>
      </w:r>
      <w:r w:rsidR="00A710C8">
        <w:t>obtained</w:t>
      </w:r>
      <w:r w:rsidR="009B6A1F">
        <w:t xml:space="preserve"> as is</w:t>
      </w:r>
      <w:r w:rsidR="00A710C8">
        <w:t xml:space="preserve"> from instruments.  That is, all the data that the researcher needs to do an analysis, including dead space and what </w:t>
      </w:r>
      <w:r w:rsidR="00882786">
        <w:t xml:space="preserve">dead space </w:t>
      </w:r>
      <w:r w:rsidR="00A710C8">
        <w:t>gas was used, etc.  In other words</w:t>
      </w:r>
      <w:r w:rsidR="00882786">
        <w:t>,</w:t>
      </w:r>
      <w:r w:rsidR="00A710C8">
        <w:t xml:space="preserve"> all the data the goes into the </w:t>
      </w:r>
      <w:r w:rsidR="001D748F">
        <w:t xml:space="preserve">research </w:t>
      </w:r>
      <w:r w:rsidR="00A710C8">
        <w:t>notebook of record.</w:t>
      </w:r>
    </w:p>
    <w:p w14:paraId="3BC6E639" w14:textId="62E23414" w:rsidR="009451AE" w:rsidRPr="009451AE" w:rsidRDefault="002B02B3" w:rsidP="009451AE">
      <w:pPr>
        <w:pStyle w:val="NoSpacing"/>
        <w:numPr>
          <w:ilvl w:val="0"/>
          <w:numId w:val="27"/>
        </w:numPr>
        <w:rPr>
          <w:b/>
          <w:bCs/>
        </w:rPr>
      </w:pPr>
      <w:r>
        <w:t>Special attention should be paid to temperature control</w:t>
      </w:r>
      <w:r w:rsidR="009451AE">
        <w:t>. U</w:t>
      </w:r>
      <w:r>
        <w:t>se radiative shielding</w:t>
      </w:r>
      <w:r w:rsidR="009B6A1F">
        <w:t xml:space="preserve"> and liquid-gas thermometer</w:t>
      </w:r>
      <w:r w:rsidR="009451AE">
        <w:t>.</w:t>
      </w:r>
      <w:r>
        <w:t xml:space="preserve"> </w:t>
      </w:r>
    </w:p>
    <w:p w14:paraId="3D2990AC" w14:textId="054E375E" w:rsidR="00203B90" w:rsidRPr="00BD72AF" w:rsidRDefault="009451AE" w:rsidP="009451AE">
      <w:pPr>
        <w:pStyle w:val="NoSpacing"/>
        <w:numPr>
          <w:ilvl w:val="0"/>
          <w:numId w:val="27"/>
        </w:numPr>
        <w:rPr>
          <w:b/>
          <w:bCs/>
        </w:rPr>
      </w:pPr>
      <w:r>
        <w:t xml:space="preserve">Make corrections for </w:t>
      </w:r>
      <w:r w:rsidR="002B02B3">
        <w:t>the Knudsen effect</w:t>
      </w:r>
      <w:r>
        <w:t xml:space="preserve"> by calibrating the sample tubes as recommended by Langmuir</w:t>
      </w:r>
      <w:r w:rsidR="00A55F2D">
        <w:rPr>
          <w:rStyle w:val="EndnoteReference"/>
        </w:rPr>
        <w:endnoteReference w:id="41"/>
      </w:r>
      <w:r>
        <w:t>.</w:t>
      </w:r>
    </w:p>
    <w:p w14:paraId="7E9FF005" w14:textId="77777777" w:rsidR="006F15CF" w:rsidRDefault="006F15CF" w:rsidP="00543A53">
      <w:pPr>
        <w:pStyle w:val="NoSpacing"/>
        <w:rPr>
          <w:b/>
          <w:bCs/>
        </w:rPr>
      </w:pPr>
    </w:p>
    <w:p w14:paraId="58C7F257" w14:textId="77777777" w:rsidR="006C2365" w:rsidRDefault="006C2365" w:rsidP="00981E49">
      <w:pPr>
        <w:pStyle w:val="NoSpacing"/>
        <w:outlineLvl w:val="0"/>
      </w:pPr>
      <w:bookmarkStart w:id="66" w:name="_Toc171582155"/>
      <w:r>
        <w:rPr>
          <w:b/>
          <w:bCs/>
        </w:rPr>
        <w:lastRenderedPageBreak/>
        <w:t>Conclusion:</w:t>
      </w:r>
      <w:bookmarkEnd w:id="66"/>
    </w:p>
    <w:p w14:paraId="09A8DDA2" w14:textId="77777777" w:rsidR="006C2365" w:rsidRDefault="006C2365" w:rsidP="00543A53">
      <w:pPr>
        <w:pStyle w:val="NoSpacing"/>
      </w:pPr>
    </w:p>
    <w:p w14:paraId="2E4B4427" w14:textId="3BA61808" w:rsidR="006C2365" w:rsidRDefault="006C2365" w:rsidP="00543A53">
      <w:pPr>
        <w:pStyle w:val="NoSpacing"/>
      </w:pPr>
      <w:r>
        <w:t xml:space="preserve">The BET has several problems, but never-the-less, there </w:t>
      </w:r>
      <w:r w:rsidR="0008609E">
        <w:t>is a good</w:t>
      </w:r>
      <w:r>
        <w:t xml:space="preserve"> chance to convert the BET values of </w:t>
      </w:r>
      <w:r>
        <w:rPr>
          <w:i/>
          <w:iCs/>
        </w:rPr>
        <w:t>n</w:t>
      </w:r>
      <w:r w:rsidRPr="006C2365">
        <w:rPr>
          <w:vertAlign w:val="subscript"/>
        </w:rPr>
        <w:t>m</w:t>
      </w:r>
      <w:r>
        <w:t>,</w:t>
      </w:r>
      <w:r w:rsidR="00243594">
        <w:t xml:space="preserve"> or </w:t>
      </w:r>
      <w:r w:rsidR="00243594">
        <w:rPr>
          <w:i/>
          <w:iCs/>
        </w:rPr>
        <w:t>A</w:t>
      </w:r>
      <w:r w:rsidR="00243594">
        <w:t>,</w:t>
      </w:r>
      <w:r>
        <w:t xml:space="preserve"> the monolayer equivalence and the </w:t>
      </w:r>
      <w:r>
        <w:rPr>
          <w:i/>
          <w:iCs/>
        </w:rPr>
        <w:t>C</w:t>
      </w:r>
      <w:r>
        <w:t xml:space="preserve"> constant to </w:t>
      </w:r>
      <w:r>
        <w:rPr>
          <w:i/>
          <w:iCs/>
        </w:rPr>
        <w:t>n</w:t>
      </w:r>
      <w:r w:rsidRPr="006C2365">
        <w:rPr>
          <w:vertAlign w:val="subscript"/>
        </w:rPr>
        <w:t>m</w:t>
      </w:r>
      <w:r>
        <w:t xml:space="preserve"> and </w:t>
      </w:r>
      <w:r>
        <w:rPr>
          <w:i/>
          <w:iCs/>
        </w:rPr>
        <w:t>E</w:t>
      </w:r>
      <w:r>
        <w:rPr>
          <w:vertAlign w:val="subscript"/>
        </w:rPr>
        <w:t>a</w:t>
      </w:r>
      <w:r w:rsidR="00703731" w:rsidRPr="00703731">
        <w:t xml:space="preserve"> of the QM</w:t>
      </w:r>
      <w:r w:rsidR="00A970D9">
        <w:rPr>
          <w:rFonts w:cs="Times New Roman"/>
        </w:rPr>
        <w:t>/ESW</w:t>
      </w:r>
      <w:r w:rsidR="00703731" w:rsidRPr="00703731">
        <w:t xml:space="preserve"> calculation</w:t>
      </w:r>
      <w:r w:rsidR="00D72973">
        <w:t xml:space="preserve">.  </w:t>
      </w:r>
      <w:r w:rsidR="005555BC">
        <w:t>The BET</w:t>
      </w:r>
      <w:r w:rsidR="004A2B35">
        <w:t xml:space="preserve"> is too incomplete and</w:t>
      </w:r>
      <w:r w:rsidR="005555BC">
        <w:t xml:space="preserve"> has too many fallacies </w:t>
      </w:r>
      <w:r w:rsidR="000D1670">
        <w:t xml:space="preserve">in comparison to </w:t>
      </w:r>
      <w:r w:rsidR="005555BC">
        <w:t>QM/ESW hypotheses th</w:t>
      </w:r>
      <w:r w:rsidR="009B6A1F">
        <w:t>us</w:t>
      </w:r>
      <w:r w:rsidR="005555BC">
        <w:t xml:space="preserve"> “warrant</w:t>
      </w:r>
      <w:r w:rsidR="009B6A1F">
        <w:t>s</w:t>
      </w:r>
      <w:r w:rsidR="005555BC">
        <w:t xml:space="preserve"> more assertion</w:t>
      </w:r>
      <w:r w:rsidR="005555BC">
        <w:rPr>
          <w:rStyle w:val="FootnoteReference"/>
        </w:rPr>
        <w:footnoteReference w:id="20"/>
      </w:r>
      <w:r w:rsidR="005555BC">
        <w:t xml:space="preserve">”.  </w:t>
      </w:r>
      <w:r>
        <w:t>Although quantum mechanics seem</w:t>
      </w:r>
      <w:r w:rsidR="005555BC">
        <w:t>s</w:t>
      </w:r>
      <w:r>
        <w:t xml:space="preserve"> by today’s standards to be more fundamental, there are some problems.  </w:t>
      </w:r>
      <w:r w:rsidR="002F0C1F">
        <w:t>The remaining problems include, f</w:t>
      </w:r>
      <w:r w:rsidR="00516868">
        <w:t>or example, n</w:t>
      </w:r>
      <w:r>
        <w:t>ot enough critical experiments have been performed to support the QM</w:t>
      </w:r>
      <w:r w:rsidR="00A970D9">
        <w:rPr>
          <w:rFonts w:cs="Times New Roman"/>
        </w:rPr>
        <w:t>/ESW</w:t>
      </w:r>
      <w:r>
        <w:t xml:space="preserve"> approach.</w:t>
      </w:r>
      <w:r w:rsidR="002F0C1F">
        <w:t xml:space="preserve">  The is enough evidence that QM/ESW is more accurate than other choices that this paper and others like it are warranted and worthy of critical testing.</w:t>
      </w:r>
    </w:p>
    <w:p w14:paraId="18825DC5" w14:textId="77777777" w:rsidR="000C1931" w:rsidRDefault="000C1931" w:rsidP="00543A53">
      <w:pPr>
        <w:pStyle w:val="NoSpacing"/>
      </w:pPr>
    </w:p>
    <w:p w14:paraId="5C53FA9F" w14:textId="414EDF17" w:rsidR="000C1931" w:rsidRDefault="000C1931" w:rsidP="00543A53">
      <w:pPr>
        <w:pStyle w:val="NoSpacing"/>
      </w:pPr>
      <w:r>
        <w:t xml:space="preserve">The conversion </w:t>
      </w:r>
      <w:r w:rsidR="00FC379D">
        <w:t xml:space="preserve">herein described </w:t>
      </w:r>
      <w:r>
        <w:t xml:space="preserve">depends upon the original conventions used to make the BET calculation.  </w:t>
      </w:r>
      <w:r w:rsidR="00D72973">
        <w:t>The most important being what range of data is used for the BET calculation.  Unfortunately, many investigators simply hunt around for a linear portion and use that.  As can be seen from the different values in the BET-to-QM</w:t>
      </w:r>
      <w:r w:rsidR="00A970D9">
        <w:rPr>
          <w:rFonts w:cs="Times New Roman"/>
        </w:rPr>
        <w:t>/ESW</w:t>
      </w:r>
      <w:r w:rsidR="00D72973">
        <w:t xml:space="preserve"> conversion tables, this is not a trivial problem.  If the publication does not state the convention used</w:t>
      </w:r>
      <w:r w:rsidR="00845A2E">
        <w:t>,</w:t>
      </w:r>
      <w:r w:rsidR="00D72973">
        <w:t xml:space="preserve"> then the date of submission might supply a hint.  It would be best, if possible</w:t>
      </w:r>
      <w:r w:rsidR="00703731">
        <w:t>,</w:t>
      </w:r>
      <w:r w:rsidR="00D72973">
        <w:t xml:space="preserve"> to repeat the experiment</w:t>
      </w:r>
      <w:r w:rsidR="00703731">
        <w:t xml:space="preserve"> and report the data.  Given today’s uncertainty, it would be best to report the data and not just the parametric </w:t>
      </w:r>
      <w:r w:rsidR="000F78F2">
        <w:t>output</w:t>
      </w:r>
      <w:r w:rsidR="00703731">
        <w:t xml:space="preserve">, to </w:t>
      </w:r>
      <w:r w:rsidR="009B6A1F">
        <w:t>ensure</w:t>
      </w:r>
      <w:r w:rsidR="00703731">
        <w:t xml:space="preserve"> lasting value.</w:t>
      </w:r>
    </w:p>
    <w:p w14:paraId="1CC29E79" w14:textId="77777777" w:rsidR="00AA5EAB" w:rsidRDefault="00AA5EAB" w:rsidP="00543A53">
      <w:pPr>
        <w:pStyle w:val="NoSpacing"/>
        <w:rPr>
          <w:rFonts w:cs="Times New Roman"/>
          <w:iCs/>
        </w:rPr>
      </w:pPr>
    </w:p>
    <w:p w14:paraId="71465355" w14:textId="1DE3795D" w:rsidR="00AA5EAB" w:rsidRDefault="00AA5EAB" w:rsidP="00543A53">
      <w:pPr>
        <w:pStyle w:val="NoSpacing"/>
        <w:rPr>
          <w:rFonts w:cs="Times New Roman"/>
          <w:iCs/>
        </w:rPr>
      </w:pPr>
      <w:r>
        <w:rPr>
          <w:rFonts w:cs="Times New Roman"/>
          <w:iCs/>
        </w:rPr>
        <w:t>Before the specification of these data range conventions, wildly differing results were obtained by various authors with little explanation.  A recent round-robin is attempting to made to further standardize beyond the “Rouquerol” of “Sing” conventions with a semi-AI</w:t>
      </w:r>
      <w:r w:rsidR="00243594">
        <w:rPr>
          <w:rStyle w:val="FootnoteReference"/>
          <w:rFonts w:cs="Times New Roman"/>
          <w:iCs/>
        </w:rPr>
        <w:footnoteReference w:id="21"/>
      </w:r>
      <w:r>
        <w:rPr>
          <w:rFonts w:cs="Times New Roman"/>
          <w:iCs/>
        </w:rPr>
        <w:t xml:space="preserve"> program called BETSI to set in concrete something which cannot be so solidified without any solid theoretical backing</w:t>
      </w:r>
      <w:r>
        <w:rPr>
          <w:rStyle w:val="FootnoteReference"/>
          <w:rFonts w:cs="Times New Roman"/>
          <w:iCs/>
        </w:rPr>
        <w:footnoteReference w:id="22"/>
      </w:r>
      <w:r>
        <w:rPr>
          <w:rFonts w:cs="Times New Roman"/>
          <w:iCs/>
        </w:rPr>
        <w:t>.</w:t>
      </w:r>
      <w:r w:rsidR="00464C79">
        <w:rPr>
          <w:rFonts w:cs="Times New Roman"/>
          <w:iCs/>
        </w:rPr>
        <w:t xml:space="preserve">  Apparently, the program used decides which points to use to make a calculation.  </w:t>
      </w:r>
      <w:r w:rsidR="00ED7F65">
        <w:rPr>
          <w:rFonts w:cs="Times New Roman"/>
          <w:iCs/>
        </w:rPr>
        <w:t xml:space="preserve">(Even though the IUPAC recommendation is to use at least 10 points in the Rouquerol range, this does not appear to be a requirement.)  </w:t>
      </w:r>
      <w:r w:rsidR="00464C79">
        <w:rPr>
          <w:rFonts w:cs="Times New Roman"/>
          <w:iCs/>
        </w:rPr>
        <w:t>This is a problem since selecting certain points in the Rouquerol range versus other points can lead to wi</w:t>
      </w:r>
      <w:r w:rsidR="00845A2E">
        <w:rPr>
          <w:rFonts w:cs="Times New Roman"/>
          <w:iCs/>
        </w:rPr>
        <w:t>ld</w:t>
      </w:r>
      <w:r w:rsidR="00464C79">
        <w:rPr>
          <w:rFonts w:cs="Times New Roman"/>
          <w:iCs/>
        </w:rPr>
        <w:t>ly different answer</w:t>
      </w:r>
      <w:r w:rsidR="00766BE7">
        <w:rPr>
          <w:rFonts w:cs="Times New Roman"/>
          <w:iCs/>
        </w:rPr>
        <w:t>s</w:t>
      </w:r>
      <w:r w:rsidR="00464C79">
        <w:rPr>
          <w:rFonts w:cs="Times New Roman"/>
          <w:iCs/>
        </w:rPr>
        <w:t>.  See</w:t>
      </w:r>
      <w:r w:rsidR="00B12642">
        <w:rPr>
          <w:rFonts w:cs="Times New Roman"/>
          <w:iCs/>
        </w:rPr>
        <w:t xml:space="preserve"> the slopes for </w:t>
      </w:r>
      <w:r w:rsidR="00ED7F65">
        <w:rPr>
          <w:rFonts w:cs="Times New Roman"/>
          <w:iCs/>
        </w:rPr>
        <w:fldChar w:fldCharType="begin"/>
      </w:r>
      <w:r w:rsidR="00ED7F65">
        <w:rPr>
          <w:rFonts w:cs="Times New Roman"/>
          <w:iCs/>
        </w:rPr>
        <w:instrText xml:space="preserve"> REF _Ref159697471 \h </w:instrText>
      </w:r>
      <w:r w:rsidR="00543A53">
        <w:rPr>
          <w:rFonts w:cs="Times New Roman"/>
          <w:iCs/>
        </w:rPr>
        <w:instrText xml:space="preserve"> \* MERGEFORMAT </w:instrText>
      </w:r>
      <w:r w:rsidR="00ED7F65">
        <w:rPr>
          <w:rFonts w:cs="Times New Roman"/>
          <w:iCs/>
        </w:rPr>
      </w:r>
      <w:r w:rsidR="00ED7F65">
        <w:rPr>
          <w:rFonts w:cs="Times New Roman"/>
          <w:iCs/>
        </w:rPr>
        <w:fldChar w:fldCharType="separate"/>
      </w:r>
      <w:r w:rsidR="00040CA9" w:rsidRPr="002F7EE4">
        <w:rPr>
          <w:i/>
          <w:iCs/>
        </w:rPr>
        <w:t xml:space="preserve">Figure </w:t>
      </w:r>
      <w:r w:rsidR="00040CA9">
        <w:rPr>
          <w:i/>
          <w:iCs/>
          <w:noProof/>
        </w:rPr>
        <w:t>1</w:t>
      </w:r>
      <w:r w:rsidR="00ED7F65">
        <w:rPr>
          <w:rFonts w:cs="Times New Roman"/>
          <w:iCs/>
        </w:rPr>
        <w:fldChar w:fldCharType="end"/>
      </w:r>
      <w:r w:rsidR="001A381C">
        <w:rPr>
          <w:rFonts w:cs="Times New Roman"/>
          <w:iCs/>
        </w:rPr>
        <w:t xml:space="preserve"> through </w:t>
      </w:r>
      <w:r w:rsidR="001A381C">
        <w:rPr>
          <w:rFonts w:cs="Times New Roman"/>
          <w:i/>
        </w:rPr>
        <w:t>4</w:t>
      </w:r>
      <w:r w:rsidR="0039058D">
        <w:rPr>
          <w:rFonts w:cs="Times New Roman"/>
          <w:i/>
        </w:rPr>
        <w:t xml:space="preserve"> </w:t>
      </w:r>
      <w:r w:rsidR="00B12642">
        <w:rPr>
          <w:rFonts w:cs="Times New Roman"/>
          <w:iCs/>
        </w:rPr>
        <w:t>to get a feel fo</w:t>
      </w:r>
      <w:bookmarkStart w:id="67" w:name="TUWYLP"/>
      <w:bookmarkEnd w:id="67"/>
      <w:r w:rsidR="00B12642">
        <w:rPr>
          <w:rFonts w:cs="Times New Roman"/>
          <w:iCs/>
        </w:rPr>
        <w:t>r the reason.</w:t>
      </w:r>
    </w:p>
    <w:p w14:paraId="31F7D9BE" w14:textId="77777777" w:rsidR="006C2365" w:rsidRDefault="006C2365" w:rsidP="00543A53">
      <w:pPr>
        <w:pStyle w:val="NoSpacing"/>
      </w:pPr>
    </w:p>
    <w:p w14:paraId="0C691D3A" w14:textId="621A2A5A" w:rsidR="007C778E" w:rsidRDefault="006C2365" w:rsidP="00543A53">
      <w:pPr>
        <w:pStyle w:val="NoSpacing"/>
      </w:pPr>
      <w:r>
        <w:t>There is a second problem, which is common to both the BET and the QM</w:t>
      </w:r>
      <w:r w:rsidR="00A970D9">
        <w:rPr>
          <w:rFonts w:cs="Times New Roman"/>
        </w:rPr>
        <w:t>/ESW</w:t>
      </w:r>
      <w:r>
        <w:t xml:space="preserve">, that is the conversion of </w:t>
      </w:r>
      <w:r>
        <w:rPr>
          <w:i/>
          <w:iCs/>
        </w:rPr>
        <w:t>n</w:t>
      </w:r>
      <w:r>
        <w:rPr>
          <w:vertAlign w:val="subscript"/>
        </w:rPr>
        <w:t>m</w:t>
      </w:r>
      <w:r>
        <w:t xml:space="preserve"> to a measure of surface area.  This has not been treated here, but </w:t>
      </w:r>
      <w:r w:rsidR="008A3FC4">
        <w:t>what is</w:t>
      </w:r>
      <w:r w:rsidR="001D748F">
        <w:t xml:space="preserve"> normally</w:t>
      </w:r>
      <w:r w:rsidR="008A3FC4">
        <w:t xml:space="preserve"> used is </w:t>
      </w:r>
      <w:r>
        <w:t xml:space="preserve">simply the IUPAC convention, which is clearly flawed.  </w:t>
      </w:r>
      <w:r w:rsidR="00360B53">
        <w:t>Certainly, for nitrogen, the unsymmetrical nature of the molecule is a problem.  Is it standing up or prone</w:t>
      </w:r>
      <w:r w:rsidR="007C778E">
        <w:t>?  T</w:t>
      </w:r>
      <w:r w:rsidR="00360B53">
        <w:t xml:space="preserve">his makes at least a </w:t>
      </w:r>
      <w:r w:rsidR="007C778E">
        <w:rPr>
          <w:rFonts w:cs="Times New Roman"/>
        </w:rPr>
        <w:t>±</w:t>
      </w:r>
      <w:r w:rsidR="00360B53">
        <w:t xml:space="preserve">20% difference. </w:t>
      </w:r>
    </w:p>
    <w:p w14:paraId="3792ED52" w14:textId="77777777" w:rsidR="007C778E" w:rsidRDefault="007C778E" w:rsidP="00543A53">
      <w:pPr>
        <w:pStyle w:val="NoSpacing"/>
      </w:pPr>
    </w:p>
    <w:p w14:paraId="1AA745EC" w14:textId="229A3F27" w:rsidR="006C2365" w:rsidRDefault="00360B53" w:rsidP="00543A53">
      <w:pPr>
        <w:pStyle w:val="NoSpacing"/>
      </w:pPr>
      <w:r>
        <w:t>However, for all adsorbate molecule</w:t>
      </w:r>
      <w:r w:rsidR="007C778E">
        <w:t>s</w:t>
      </w:r>
      <w:r>
        <w:t xml:space="preserve"> the question from QM</w:t>
      </w:r>
      <w:r w:rsidR="00A970D9">
        <w:rPr>
          <w:rFonts w:cs="Times New Roman"/>
        </w:rPr>
        <w:t>/ESW</w:t>
      </w:r>
      <w:r>
        <w:t xml:space="preserve"> is, “What distortions </w:t>
      </w:r>
      <w:r w:rsidR="007C778E">
        <w:t xml:space="preserve">are in </w:t>
      </w:r>
      <w:r>
        <w:t xml:space="preserve">play </w:t>
      </w:r>
      <w:r w:rsidR="007C778E">
        <w:t>with</w:t>
      </w:r>
      <w:r>
        <w:t xml:space="preserve"> fields that go as high at 30 kJ mol</w:t>
      </w:r>
      <w:r w:rsidRPr="00360B53">
        <w:rPr>
          <w:vertAlign w:val="superscript"/>
        </w:rPr>
        <w:t>-1</w:t>
      </w:r>
      <w:r>
        <w:t xml:space="preserve">?”  One would expect a “flattening” of the </w:t>
      </w:r>
      <w:r>
        <w:lastRenderedPageBreak/>
        <w:t xml:space="preserve">molecule, but how great is this?  </w:t>
      </w:r>
      <w:r w:rsidR="00766BE7">
        <w:t>For nitrogen,</w:t>
      </w:r>
      <w:r>
        <w:t xml:space="preserve"> one expects under high fields that nitrogen would tend to be prone</w:t>
      </w:r>
      <w:r w:rsidR="00766BE7">
        <w:t>, but is there a distribution of orientations</w:t>
      </w:r>
      <w:r w:rsidR="005D5272">
        <w:t>?</w:t>
      </w:r>
      <w:r>
        <w:t xml:space="preserve">  This phenomenon needs some research to determine if it exists, what </w:t>
      </w:r>
      <w:r w:rsidR="005D5272">
        <w:t xml:space="preserve">is </w:t>
      </w:r>
      <w:r>
        <w:t xml:space="preserve">the energy </w:t>
      </w:r>
      <w:r w:rsidR="00BD184E">
        <w:t>dependence,</w:t>
      </w:r>
      <w:r>
        <w:t xml:space="preserve"> an</w:t>
      </w:r>
      <w:r w:rsidR="005D5272">
        <w:t xml:space="preserve">d </w:t>
      </w:r>
      <w:r>
        <w:t xml:space="preserve">can </w:t>
      </w:r>
      <w:r w:rsidR="005D5272">
        <w:t xml:space="preserve">it </w:t>
      </w:r>
      <w:r>
        <w:t>be correlated to the surface energy</w:t>
      </w:r>
      <w:r w:rsidR="005D5272">
        <w:t>?</w:t>
      </w:r>
    </w:p>
    <w:p w14:paraId="1E322E20" w14:textId="77777777" w:rsidR="00360B53" w:rsidRDefault="00360B53" w:rsidP="00543A53">
      <w:pPr>
        <w:pStyle w:val="NoSpacing"/>
      </w:pPr>
    </w:p>
    <w:p w14:paraId="06204EBB" w14:textId="12484B58" w:rsidR="00360B53" w:rsidRDefault="007C778E" w:rsidP="00543A53">
      <w:pPr>
        <w:pStyle w:val="NoSpacing"/>
      </w:pPr>
      <w:r>
        <w:t>Another question is, how much o</w:t>
      </w:r>
      <w:r w:rsidR="00766BE7">
        <w:t>f</w:t>
      </w:r>
      <w:r>
        <w:t xml:space="preserve"> the surface is excluded from the measurement due to the </w:t>
      </w:r>
      <w:r w:rsidR="009B6A1F">
        <w:t xml:space="preserve">adsorbent </w:t>
      </w:r>
      <w:r>
        <w:t xml:space="preserve">particles touching.  </w:t>
      </w:r>
      <w:r w:rsidR="00766BE7">
        <w:t xml:space="preserve">Are points of contact masked from adsorptive or is the adsorption energy high enough to separate the adsorptive particles?  For the latter question, is there </w:t>
      </w:r>
      <w:r w:rsidR="000155A0">
        <w:t>a</w:t>
      </w:r>
      <w:r w:rsidR="00766BE7">
        <w:t xml:space="preserve"> dependence</w:t>
      </w:r>
      <w:r w:rsidR="004A08C0">
        <w:t xml:space="preserve"> upon energy</w:t>
      </w:r>
      <w:r w:rsidR="00766BE7">
        <w:t xml:space="preserve">? It would be desirable to settle this latter question by experiments in </w:t>
      </w:r>
      <w:r w:rsidR="00D01373">
        <w:t xml:space="preserve">the </w:t>
      </w:r>
      <w:r w:rsidR="00360B53">
        <w:t>absence of gravity</w:t>
      </w:r>
      <w:r w:rsidR="000155A0">
        <w:t xml:space="preserve">. </w:t>
      </w:r>
      <w:r w:rsidR="00D01373">
        <w:t xml:space="preserve"> This </w:t>
      </w:r>
      <w:r w:rsidR="000155A0">
        <w:t>might</w:t>
      </w:r>
      <w:r w:rsidR="00D01373">
        <w:t xml:space="preserve"> be</w:t>
      </w:r>
      <w:r w:rsidR="00360B53">
        <w:t xml:space="preserve"> a difficult task without the cooperation of NASA.</w:t>
      </w:r>
      <w:r>
        <w:t xml:space="preserve">  Even so, in general practice it is unlikely th</w:t>
      </w:r>
      <w:r w:rsidR="001A381C">
        <w:t>at</w:t>
      </w:r>
      <w:r>
        <w:t xml:space="preserve"> all samples can be sent to space.</w:t>
      </w:r>
    </w:p>
    <w:p w14:paraId="4003879F" w14:textId="77777777" w:rsidR="00E42DD5" w:rsidRDefault="00E42DD5" w:rsidP="00543A53">
      <w:pPr>
        <w:pStyle w:val="NoSpacing"/>
      </w:pPr>
    </w:p>
    <w:p w14:paraId="0169488B" w14:textId="4EF871FD" w:rsidR="00E42DD5" w:rsidRPr="00E42DD5" w:rsidRDefault="00E42DD5" w:rsidP="0008609E">
      <w:pPr>
        <w:pStyle w:val="NoSpacing"/>
        <w:outlineLvl w:val="0"/>
        <w:rPr>
          <w:b/>
          <w:bCs/>
        </w:rPr>
      </w:pPr>
      <w:bookmarkStart w:id="68" w:name="_Toc171582156"/>
      <w:r w:rsidRPr="00E42DD5">
        <w:rPr>
          <w:b/>
          <w:bCs/>
        </w:rPr>
        <w:t>Acknowledgements:</w:t>
      </w:r>
      <w:bookmarkEnd w:id="68"/>
    </w:p>
    <w:p w14:paraId="072F483A" w14:textId="77777777" w:rsidR="00CE347E" w:rsidRDefault="00CE347E" w:rsidP="00543A53">
      <w:pPr>
        <w:pStyle w:val="NoSpacing"/>
        <w:rPr>
          <w:rFonts w:cs="Times New Roman"/>
        </w:rPr>
      </w:pPr>
    </w:p>
    <w:p w14:paraId="0A428016" w14:textId="77777777" w:rsidR="000155A0" w:rsidRDefault="00E42DD5" w:rsidP="00543A53">
      <w:pPr>
        <w:pStyle w:val="NoSpacing"/>
        <w:rPr>
          <w:rFonts w:cs="Times New Roman"/>
        </w:rPr>
      </w:pPr>
      <w:r>
        <w:rPr>
          <w:rFonts w:cs="Times New Roman"/>
        </w:rPr>
        <w:t xml:space="preserve">I would like </w:t>
      </w:r>
      <w:r w:rsidR="0008609E">
        <w:rPr>
          <w:rFonts w:cs="Times New Roman"/>
        </w:rPr>
        <w:t>to thank</w:t>
      </w:r>
      <w:r>
        <w:rPr>
          <w:rFonts w:cs="Times New Roman"/>
        </w:rPr>
        <w:t xml:space="preserve"> Dr. J</w:t>
      </w:r>
      <w:r w:rsidR="00CE347E">
        <w:rPr>
          <w:rFonts w:cs="Times New Roman"/>
        </w:rPr>
        <w:t>ürgen Adolphs for his consultation</w:t>
      </w:r>
      <w:r w:rsidR="000155A0">
        <w:rPr>
          <w:rFonts w:cs="Times New Roman"/>
        </w:rPr>
        <w:t xml:space="preserve"> and acknowledge his continued work in improving the ESW</w:t>
      </w:r>
      <w:r w:rsidR="00CE347E">
        <w:rPr>
          <w:rFonts w:cs="Times New Roman"/>
        </w:rPr>
        <w:t xml:space="preserve">.  </w:t>
      </w:r>
    </w:p>
    <w:p w14:paraId="788FD877" w14:textId="77777777" w:rsidR="000155A0" w:rsidRDefault="000155A0" w:rsidP="00543A53">
      <w:pPr>
        <w:pStyle w:val="NoSpacing"/>
        <w:rPr>
          <w:rFonts w:cs="Times New Roman"/>
        </w:rPr>
      </w:pPr>
    </w:p>
    <w:p w14:paraId="4A2C0ABE" w14:textId="2F81F6D1" w:rsidR="00E42DD5" w:rsidRPr="00E42DD5" w:rsidRDefault="00CE347E" w:rsidP="00543A53">
      <w:pPr>
        <w:pStyle w:val="NoSpacing"/>
        <w:rPr>
          <w:rFonts w:cs="Times New Roman"/>
          <w:u w:val="single"/>
        </w:rPr>
      </w:pPr>
      <w:r>
        <w:rPr>
          <w:rFonts w:cs="Times New Roman"/>
        </w:rPr>
        <w:t xml:space="preserve">Several researchers have kindly supplied me with data, without which I would have had nothing to compare the theoretical aspects with.  </w:t>
      </w:r>
      <w:r w:rsidR="00066288">
        <w:rPr>
          <w:rFonts w:cs="Times New Roman"/>
        </w:rPr>
        <w:t>This is because I have n</w:t>
      </w:r>
      <w:r w:rsidR="00F433D9">
        <w:rPr>
          <w:rFonts w:cs="Times New Roman"/>
        </w:rPr>
        <w:t>ot</w:t>
      </w:r>
      <w:r w:rsidR="00BD184E">
        <w:rPr>
          <w:rFonts w:cs="Times New Roman"/>
        </w:rPr>
        <w:t xml:space="preserve"> had</w:t>
      </w:r>
      <w:r w:rsidR="00F433D9">
        <w:rPr>
          <w:rFonts w:cs="Times New Roman"/>
        </w:rPr>
        <w:t>, after developing the equipment,</w:t>
      </w:r>
      <w:r w:rsidR="00066288">
        <w:rPr>
          <w:rFonts w:cs="Times New Roman"/>
        </w:rPr>
        <w:t xml:space="preserve"> the instruments</w:t>
      </w:r>
      <w:r w:rsidR="00BD184E">
        <w:rPr>
          <w:rFonts w:cs="Times New Roman"/>
        </w:rPr>
        <w:t xml:space="preserve"> in my control</w:t>
      </w:r>
      <w:r w:rsidR="00066288">
        <w:rPr>
          <w:rFonts w:cs="Times New Roman"/>
        </w:rPr>
        <w:t xml:space="preserve"> to make the measurements.  </w:t>
      </w:r>
      <w:r>
        <w:rPr>
          <w:rFonts w:cs="Times New Roman"/>
        </w:rPr>
        <w:t xml:space="preserve">For this </w:t>
      </w:r>
      <w:r w:rsidR="00066288">
        <w:rPr>
          <w:rFonts w:cs="Times New Roman"/>
        </w:rPr>
        <w:t xml:space="preserve">help </w:t>
      </w:r>
      <w:r>
        <w:rPr>
          <w:rFonts w:cs="Times New Roman"/>
        </w:rPr>
        <w:t>I am thankful.</w:t>
      </w:r>
    </w:p>
    <w:p w14:paraId="0055ADC1" w14:textId="77777777" w:rsidR="00ED2E15" w:rsidRDefault="00ED2E15" w:rsidP="00543A53">
      <w:pPr>
        <w:pStyle w:val="NoSpacing"/>
        <w:rPr>
          <w:rFonts w:cs="Times New Roman"/>
          <w:b/>
          <w:bCs/>
        </w:rPr>
      </w:pPr>
    </w:p>
    <w:p w14:paraId="0D9F1E55" w14:textId="1E652A73" w:rsidR="000155A0" w:rsidRDefault="00A906F7" w:rsidP="00A906F7">
      <w:pPr>
        <w:pStyle w:val="NoSpacing"/>
        <w:outlineLvl w:val="0"/>
        <w:rPr>
          <w:b/>
          <w:bCs/>
        </w:rPr>
      </w:pPr>
      <w:bookmarkStart w:id="69" w:name="_Toc170817926"/>
      <w:bookmarkStart w:id="70" w:name="_Toc171582157"/>
      <w:r w:rsidRPr="00E07A0B">
        <w:rPr>
          <w:b/>
          <w:bCs/>
        </w:rPr>
        <w:t>Appendix I - Symbol List:</w:t>
      </w:r>
      <w:bookmarkEnd w:id="69"/>
      <w:bookmarkEnd w:id="70"/>
    </w:p>
    <w:p w14:paraId="4BB4E734" w14:textId="77777777" w:rsidR="00F137F6" w:rsidRDefault="00F137F6" w:rsidP="00A906F7">
      <w:pPr>
        <w:pStyle w:val="NoSpacing"/>
      </w:pPr>
    </w:p>
    <w:p w14:paraId="46EA8FD1" w14:textId="591214FD" w:rsidR="00A906F7" w:rsidRPr="00FC379D" w:rsidRDefault="00FC379D" w:rsidP="00A906F7">
      <w:pPr>
        <w:pStyle w:val="NoSpacing"/>
      </w:pPr>
      <w:r>
        <w:t xml:space="preserve">This list applies to this publication and others produced by the author. </w:t>
      </w:r>
      <w:r w:rsidR="00A906F7">
        <w:t xml:space="preserve">  </w:t>
      </w:r>
      <w:r w:rsidRPr="0097477A">
        <w:t>The IUPAC conventions are followed as much as possible.</w:t>
      </w:r>
      <w:r>
        <w:t xml:space="preserve"> However, there are some exceptions.  </w:t>
      </w:r>
      <w:r>
        <w:t>For example, t</w:t>
      </w:r>
      <w:r w:rsidR="00A906F7">
        <w:t>he molar quantities are written with an overbar instead of a</w:t>
      </w:r>
      <w:r>
        <w:t>n</w:t>
      </w:r>
      <w:r w:rsidR="00A906F7">
        <w:t xml:space="preserve"> </w:t>
      </w:r>
      <w:r w:rsidR="00A906F7" w:rsidRPr="0097477A">
        <w:rPr>
          <w:vertAlign w:val="subscript"/>
        </w:rPr>
        <w:t>m</w:t>
      </w:r>
      <w:r>
        <w:t xml:space="preserve"> which is used for “monolayer.  A</w:t>
      </w:r>
      <w:r w:rsidR="006727CB">
        <w:t>n</w:t>
      </w:r>
      <w:r>
        <w:t xml:space="preserve"> </w:t>
      </w:r>
      <w:r w:rsidR="00A906F7">
        <w:t>italic lowercase L (</w:t>
      </w:r>
      <w:r w:rsidR="00A906F7">
        <w:rPr>
          <w:i/>
          <w:iCs/>
          <w:vertAlign w:val="subscript"/>
        </w:rPr>
        <w:t>l</w:t>
      </w:r>
      <w:r w:rsidR="00A906F7">
        <w:t>) is used for liquid state at the temperature of the adsorbent</w:t>
      </w:r>
      <w:r>
        <w:t xml:space="preserve">. </w:t>
      </w:r>
      <w:r w:rsidR="00A906F7">
        <w:rPr>
          <w:rFonts w:cs="Times New Roman"/>
        </w:rPr>
        <w:t>θ</w:t>
      </w:r>
      <w:r w:rsidR="00A906F7">
        <w:t xml:space="preserve"> (coverage) is used for the actual amount compared to a monolayer equivalent</w:t>
      </w:r>
      <w:r>
        <w:t>,</w:t>
      </w:r>
      <w:r w:rsidR="00A906F7">
        <w:t xml:space="preserve"> that mean</w:t>
      </w:r>
      <w:r w:rsidR="000155A0">
        <w:t>s</w:t>
      </w:r>
      <w:r w:rsidR="00A906F7">
        <w:t xml:space="preserve"> any physical obstruction will lower the value from the flat surface areal density, that is, </w:t>
      </w:r>
      <w:r w:rsidR="00A906F7">
        <w:rPr>
          <w:rFonts w:cs="Times New Roman"/>
        </w:rPr>
        <w:t>Δ</w:t>
      </w:r>
      <w:r w:rsidR="00A906F7">
        <w:sym w:font="Symbol" w:char="F063"/>
      </w:r>
      <w:r w:rsidR="00A906F7">
        <w:t>.</w:t>
      </w:r>
      <w:r>
        <w:t xml:space="preserve">  However, subscripted </w:t>
      </w:r>
      <w:r>
        <w:rPr>
          <w:rFonts w:cs="Times New Roman"/>
        </w:rPr>
        <w:t>θ</w:t>
      </w:r>
      <w:r>
        <w:rPr>
          <w:rFonts w:cs="Times New Roman"/>
        </w:rPr>
        <w:t xml:space="preserve">s, Example </w:t>
      </w:r>
      <w:r>
        <w:rPr>
          <w:rFonts w:cs="Times New Roman"/>
        </w:rPr>
        <w:t>θ</w:t>
      </w:r>
      <w:r>
        <w:rPr>
          <w:rFonts w:cs="Times New Roman"/>
          <w:vertAlign w:val="subscript"/>
        </w:rPr>
        <w:t>2</w:t>
      </w:r>
      <w:r>
        <w:rPr>
          <w:rFonts w:cs="Times New Roman"/>
        </w:rPr>
        <w:t xml:space="preserve">, </w:t>
      </w:r>
      <w:r>
        <w:rPr>
          <w:rFonts w:cs="Times New Roman"/>
        </w:rPr>
        <w:t>θ</w:t>
      </w:r>
      <w:r>
        <w:rPr>
          <w:rFonts w:cs="Times New Roman"/>
          <w:vertAlign w:val="subscript"/>
        </w:rPr>
        <w:t>3</w:t>
      </w:r>
      <w:r>
        <w:rPr>
          <w:rFonts w:cs="Times New Roman"/>
        </w:rPr>
        <w:t>, ... are the areal densities</w:t>
      </w:r>
      <w:r w:rsidR="00276C86">
        <w:rPr>
          <w:rFonts w:cs="Times New Roman"/>
        </w:rPr>
        <w:t xml:space="preserve"> with subscripts indicating the “layer.”</w:t>
      </w:r>
    </w:p>
    <w:p w14:paraId="7FCDCB77" w14:textId="77777777" w:rsidR="000155A0" w:rsidRDefault="000155A0" w:rsidP="00A906F7">
      <w:pPr>
        <w:pStyle w:val="NoSpacing"/>
      </w:pPr>
    </w:p>
    <w:p w14:paraId="2F9C1566" w14:textId="591C1EDD" w:rsidR="00A906F7" w:rsidRDefault="00A906F7" w:rsidP="00A906F7">
      <w:pPr>
        <w:pStyle w:val="NoSpacing"/>
      </w:pPr>
      <w:r>
        <w:t>It is assumed that the reader understands that all adsorbed amount</w:t>
      </w:r>
      <w:r w:rsidR="000155A0">
        <w:t>s</w:t>
      </w:r>
      <w:r w:rsidR="00276C86">
        <w:t xml:space="preserve">, </w:t>
      </w:r>
      <w:proofErr w:type="spellStart"/>
      <w:r w:rsidR="00276C86">
        <w:rPr>
          <w:i/>
          <w:iCs/>
        </w:rPr>
        <w:t>n</w:t>
      </w:r>
      <w:r w:rsidR="00276C86">
        <w:rPr>
          <w:vertAlign w:val="subscript"/>
        </w:rPr>
        <w:t>a</w:t>
      </w:r>
      <w:r w:rsidR="00276C86">
        <w:t>s</w:t>
      </w:r>
      <w:proofErr w:type="spellEnd"/>
      <w:r w:rsidR="00276C86">
        <w:t xml:space="preserve"> or </w:t>
      </w:r>
      <w:r w:rsidR="00276C86">
        <w:rPr>
          <w:i/>
          <w:iCs/>
        </w:rPr>
        <w:t>n</w:t>
      </w:r>
      <w:r w:rsidR="00276C86">
        <w:rPr>
          <w:vertAlign w:val="subscript"/>
        </w:rPr>
        <w:t>m</w:t>
      </w:r>
      <w:r w:rsidR="00276C86">
        <w:t>,</w:t>
      </w:r>
      <w:r>
        <w:t xml:space="preserve"> are reported on a bas</w:t>
      </w:r>
      <w:r w:rsidR="006727CB">
        <w:t xml:space="preserve">is </w:t>
      </w:r>
      <w:r>
        <w:t>of 1 g of adsorbent as normally reported.</w:t>
      </w:r>
    </w:p>
    <w:p w14:paraId="469B9570" w14:textId="77777777" w:rsidR="000155A0" w:rsidRDefault="000155A0" w:rsidP="00A906F7">
      <w:pPr>
        <w:pStyle w:val="NoSpacing"/>
      </w:pPr>
    </w:p>
    <w:p w14:paraId="11EDC70B" w14:textId="77777777" w:rsidR="00A906F7" w:rsidRPr="00F9532C" w:rsidRDefault="00A906F7" w:rsidP="001D36D2">
      <w:pPr>
        <w:pStyle w:val="NoSpacing"/>
        <w:outlineLvl w:val="1"/>
        <w:rPr>
          <w:i/>
          <w:iCs/>
        </w:rPr>
      </w:pPr>
      <w:bookmarkStart w:id="71" w:name="_Toc171582158"/>
      <w:r w:rsidRPr="00F9532C">
        <w:rPr>
          <w:i/>
          <w:iCs/>
        </w:rPr>
        <w:t>English Symbols</w:t>
      </w:r>
      <w:bookmarkEnd w:id="71"/>
    </w:p>
    <w:p w14:paraId="69F9B46E" w14:textId="77777777" w:rsidR="00A906F7" w:rsidRPr="00F96E8A" w:rsidRDefault="00A906F7" w:rsidP="00A906F7">
      <w:pPr>
        <w:pStyle w:val="NoSpacing"/>
      </w:pPr>
      <w:r>
        <w:rPr>
          <w:i/>
          <w:iCs/>
        </w:rPr>
        <w:t>A</w:t>
      </w:r>
      <w:r>
        <w:t xml:space="preserve"> = 2D box dimension in the plain of the surface</w:t>
      </w:r>
    </w:p>
    <w:p w14:paraId="2B8BCC16" w14:textId="77777777" w:rsidR="00A906F7" w:rsidRDefault="00A906F7" w:rsidP="00A906F7">
      <w:pPr>
        <w:pStyle w:val="NoSpacing"/>
      </w:pPr>
      <w:r>
        <w:rPr>
          <w:i/>
          <w:iCs/>
        </w:rPr>
        <w:t>A</w:t>
      </w:r>
      <w:r>
        <w:t xml:space="preserve"> = the area of the surface aliquot, </w:t>
      </w:r>
      <w:r>
        <w:sym w:font="Symbol" w:char="F053"/>
      </w:r>
      <w:proofErr w:type="spellStart"/>
      <w:r>
        <w:rPr>
          <w:i/>
          <w:iCs/>
        </w:rPr>
        <w:t>A</w:t>
      </w:r>
      <w:r w:rsidRPr="0085412D">
        <w:rPr>
          <w:i/>
          <w:iCs/>
          <w:vertAlign w:val="subscript"/>
        </w:rPr>
        <w:t>total</w:t>
      </w:r>
      <w:proofErr w:type="spellEnd"/>
      <w:r>
        <w:rPr>
          <w:i/>
          <w:iCs/>
        </w:rPr>
        <w:t xml:space="preserve"> = </w:t>
      </w:r>
      <w:r w:rsidRPr="0085412D">
        <w:t>total area</w:t>
      </w:r>
      <w:r>
        <w:t xml:space="preserve"> (given as specific quantity if unstated.)</w:t>
      </w:r>
    </w:p>
    <w:p w14:paraId="2D211F97" w14:textId="77777777" w:rsidR="00A906F7" w:rsidRDefault="00A906F7" w:rsidP="00A906F7">
      <w:pPr>
        <w:pStyle w:val="NoSpacing"/>
      </w:pPr>
      <w:r>
        <w:rPr>
          <w:i/>
          <w:iCs/>
        </w:rPr>
        <w:t>a</w:t>
      </w:r>
      <w:r>
        <w:t xml:space="preserve"> = the cross-sectional constant for the admolecule.</w:t>
      </w:r>
    </w:p>
    <w:p w14:paraId="6AC5B526" w14:textId="77777777" w:rsidR="00A906F7" w:rsidRPr="001C015B" w:rsidRDefault="00A906F7" w:rsidP="00A906F7">
      <w:pPr>
        <w:pStyle w:val="NoSpacing"/>
      </w:pPr>
      <w:r>
        <w:rPr>
          <w:i/>
          <w:iCs/>
        </w:rPr>
        <w:t>A</w:t>
      </w:r>
      <w:r>
        <w:t xml:space="preserve"> = the Polanyi-Dubinin “Adsorption Potential”</w:t>
      </w:r>
    </w:p>
    <w:p w14:paraId="3DC37614" w14:textId="77777777" w:rsidR="00A906F7" w:rsidRDefault="00A906F7" w:rsidP="00A906F7">
      <w:pPr>
        <w:pStyle w:val="NoSpacing"/>
      </w:pPr>
      <w:r w:rsidRPr="00EF6379">
        <w:rPr>
          <w:i/>
          <w:iCs/>
        </w:rPr>
        <w:t>c</w:t>
      </w:r>
      <w:r>
        <w:t xml:space="preserve"> = an arbitrary constant in the Dubinin class of isotherms.  </w:t>
      </w:r>
      <w:r w:rsidRPr="00EF6379">
        <w:rPr>
          <w:i/>
          <w:iCs/>
        </w:rPr>
        <w:t>c</w:t>
      </w:r>
      <w:r>
        <w:t xml:space="preserve"> = 2 is the Dubinin-Radakovich</w:t>
      </w:r>
    </w:p>
    <w:p w14:paraId="0E95C019" w14:textId="77777777" w:rsidR="00A906F7" w:rsidRPr="004C435A" w:rsidRDefault="00A906F7" w:rsidP="00A906F7">
      <w:pPr>
        <w:pStyle w:val="NoSpacing"/>
      </w:pPr>
      <w:r>
        <w:rPr>
          <w:i/>
          <w:iCs/>
        </w:rPr>
        <w:t>C</w:t>
      </w:r>
      <w:r>
        <w:t xml:space="preserve"> = The BET constant</w:t>
      </w:r>
    </w:p>
    <w:p w14:paraId="21F748F7" w14:textId="77777777" w:rsidR="00A906F7" w:rsidRPr="0085412D" w:rsidRDefault="00A906F7" w:rsidP="00A906F7">
      <w:pPr>
        <w:pStyle w:val="NoSpacing"/>
        <w:rPr>
          <w:i/>
          <w:iCs/>
        </w:rPr>
      </w:pPr>
      <w:r>
        <w:rPr>
          <w:i/>
          <w:iCs/>
        </w:rPr>
        <w:t>D</w:t>
      </w:r>
      <w:r>
        <w:t xml:space="preserve"> = a constant is the Dubinin class of isotherms</w:t>
      </w:r>
    </w:p>
    <w:p w14:paraId="26B6E2F4" w14:textId="7E0F5F66" w:rsidR="00A906F7" w:rsidRDefault="00A906F7" w:rsidP="00A906F7">
      <w:pPr>
        <w:pStyle w:val="NoSpacing"/>
      </w:pPr>
      <w:r>
        <w:rPr>
          <w:i/>
          <w:iCs/>
        </w:rPr>
        <w:t>D</w:t>
      </w:r>
      <w:r>
        <w:t xml:space="preserve"> =</w:t>
      </w:r>
      <w:r w:rsidR="000155A0">
        <w:t xml:space="preserve"> </w:t>
      </w:r>
      <w:r>
        <w:t>The Dubinin, et al., exponent</w:t>
      </w:r>
    </w:p>
    <w:p w14:paraId="512D7F75" w14:textId="77777777" w:rsidR="00A906F7" w:rsidRPr="00CA17F7" w:rsidRDefault="00A906F7" w:rsidP="00A906F7">
      <w:pPr>
        <w:pStyle w:val="NoSpacing"/>
      </w:pPr>
      <w:r>
        <w:rPr>
          <w:b/>
          <w:bCs/>
        </w:rPr>
        <w:t>D</w:t>
      </w:r>
      <w:r>
        <w:t xml:space="preserve"> = the normal cumulative distribution</w:t>
      </w:r>
    </w:p>
    <w:p w14:paraId="597F9D05" w14:textId="77777777" w:rsidR="00A906F7" w:rsidRPr="003703D6" w:rsidRDefault="00A906F7" w:rsidP="00A906F7">
      <w:pPr>
        <w:pStyle w:val="NoSpacing"/>
      </w:pPr>
      <w:r>
        <w:rPr>
          <w:i/>
          <w:iCs/>
        </w:rPr>
        <w:t>E</w:t>
      </w:r>
      <w:r>
        <w:t xml:space="preserve"> = energy (matrix value) from bottom of well (box)</w:t>
      </w:r>
    </w:p>
    <w:p w14:paraId="0FB7A9C7" w14:textId="77777777" w:rsidR="00A906F7" w:rsidRDefault="00A906F7" w:rsidP="00A906F7">
      <w:pPr>
        <w:pStyle w:val="NoSpacing"/>
      </w:pPr>
      <w:r>
        <w:rPr>
          <w:i/>
          <w:iCs/>
        </w:rPr>
        <w:lastRenderedPageBreak/>
        <w:t>E</w:t>
      </w:r>
      <w:r>
        <w:rPr>
          <w:rFonts w:ascii="AvantGarde Bk BT" w:hAnsi="AvantGarde Bk BT"/>
        </w:rPr>
        <w:t>'</w:t>
      </w:r>
      <w:r>
        <w:t xml:space="preserve"> = resultant energy change due to perturbation</w:t>
      </w:r>
    </w:p>
    <w:p w14:paraId="13F8EC6C" w14:textId="77777777" w:rsidR="00A906F7" w:rsidRDefault="00A906F7" w:rsidP="00A906F7">
      <w:pPr>
        <w:pStyle w:val="NoSpacing"/>
      </w:pPr>
      <w:r>
        <w:rPr>
          <w:i/>
          <w:iCs/>
        </w:rPr>
        <w:t>E</w:t>
      </w:r>
      <w:r>
        <w:t>(n=1) = ground state energy in a 1 D box</w:t>
      </w:r>
    </w:p>
    <w:p w14:paraId="4F929664" w14:textId="77777777" w:rsidR="00A906F7" w:rsidRPr="00902C2C" w:rsidRDefault="00A906F7" w:rsidP="00A906F7">
      <w:pPr>
        <w:pStyle w:val="NoSpacing"/>
      </w:pPr>
      <w:r w:rsidRPr="000155A0">
        <w:rPr>
          <w:b/>
          <w:bCs/>
        </w:rPr>
        <w:t>E</w:t>
      </w:r>
      <w:r>
        <w:t xml:space="preserve">(θ) or </w:t>
      </w:r>
      <w:r w:rsidRPr="000155A0">
        <w:rPr>
          <w:b/>
          <w:bCs/>
        </w:rPr>
        <w:t>E</w:t>
      </w:r>
      <w:r w:rsidRPr="0085412D">
        <w:t>(</w:t>
      </w:r>
      <w:r w:rsidRPr="0085412D">
        <w:rPr>
          <w:i/>
          <w:iCs/>
        </w:rPr>
        <w:t>n</w:t>
      </w:r>
      <w:r w:rsidRPr="0085412D">
        <w:rPr>
          <w:vertAlign w:val="subscript"/>
        </w:rPr>
        <w:t>a</w:t>
      </w:r>
      <w:r w:rsidRPr="0085412D">
        <w:t>)</w:t>
      </w:r>
      <w:r>
        <w:t xml:space="preserve"> or </w:t>
      </w:r>
      <w:proofErr w:type="spellStart"/>
      <w:r>
        <w:t>Δ</w:t>
      </w:r>
      <w:r>
        <w:rPr>
          <w:vertAlign w:val="subscript"/>
        </w:rPr>
        <w:t>l</w:t>
      </w:r>
      <w:r>
        <w:rPr>
          <w:vertAlign w:val="superscript"/>
        </w:rPr>
        <w:t>a</w:t>
      </w:r>
      <w:r w:rsidRPr="000155A0">
        <w:rPr>
          <w:b/>
          <w:bCs/>
        </w:rPr>
        <w:t>E</w:t>
      </w:r>
      <w:proofErr w:type="spellEnd"/>
      <w:r>
        <w:t xml:space="preserve">(θ)= The energy of internal energy as a function of θ or </w:t>
      </w:r>
      <w:r>
        <w:rPr>
          <w:i/>
          <w:iCs/>
        </w:rPr>
        <w:t>n</w:t>
      </w:r>
      <w:r w:rsidRPr="0085412D">
        <w:rPr>
          <w:vertAlign w:val="subscript"/>
        </w:rPr>
        <w:t>a</w:t>
      </w:r>
      <w:r>
        <w:t xml:space="preserve"> referenced against liquid state at the temperature of the adsorbent.</w:t>
      </w:r>
    </w:p>
    <w:p w14:paraId="45A06C25" w14:textId="77777777" w:rsidR="00A906F7" w:rsidRPr="00F506C7" w:rsidRDefault="00A906F7" w:rsidP="00A906F7">
      <w:pPr>
        <w:pStyle w:val="NoSpacing"/>
      </w:pPr>
      <w:r>
        <w:rPr>
          <w:i/>
          <w:iCs/>
        </w:rPr>
        <w:t>E</w:t>
      </w:r>
      <w:r>
        <w:rPr>
          <w:vertAlign w:val="subscript"/>
        </w:rPr>
        <w:t>a</w:t>
      </w:r>
      <w:r>
        <w:t xml:space="preserve"> = The threshold energy, the pre-exponential constant for the internal energy function, E</w:t>
      </w:r>
    </w:p>
    <w:p w14:paraId="36619DE9" w14:textId="77777777" w:rsidR="00A906F7" w:rsidRPr="0085412D" w:rsidRDefault="00A906F7" w:rsidP="00A906F7">
      <w:pPr>
        <w:pStyle w:val="NoSpacing"/>
        <w:rPr>
          <w:i/>
          <w:iCs/>
        </w:rPr>
      </w:pPr>
      <w:r w:rsidRPr="000155A0">
        <w:rPr>
          <w:b/>
          <w:bCs/>
        </w:rPr>
        <w:t>E</w:t>
      </w:r>
      <w:r w:rsidRPr="00D6618A">
        <w:rPr>
          <w:vertAlign w:val="subscript"/>
        </w:rPr>
        <w:t>a</w:t>
      </w:r>
      <w:r w:rsidRPr="00C512FC">
        <w:rPr>
          <w:vertAlign w:val="superscript"/>
        </w:rPr>
        <w:t>ϴ</w:t>
      </w:r>
      <w:r>
        <w:t xml:space="preserve"> = </w:t>
      </w:r>
      <w:proofErr w:type="spellStart"/>
      <w:r>
        <w:t>Δ</w:t>
      </w:r>
      <w:r>
        <w:rPr>
          <w:vertAlign w:val="subscript"/>
        </w:rPr>
        <w:t>l</w:t>
      </w:r>
      <w:r>
        <w:rPr>
          <w:vertAlign w:val="superscript"/>
        </w:rPr>
        <w:t>a</w:t>
      </w:r>
      <w:r w:rsidRPr="000155A0">
        <w:rPr>
          <w:b/>
          <w:bCs/>
        </w:rPr>
        <w:t>E</w:t>
      </w:r>
      <w:proofErr w:type="spellEnd"/>
      <w:r>
        <w:t xml:space="preserve">(θ) + </w:t>
      </w:r>
      <w:r w:rsidRPr="000155A0">
        <w:t>ε</w:t>
      </w:r>
      <w:r>
        <w:t>,</w:t>
      </w:r>
    </w:p>
    <w:p w14:paraId="59F3BEA6" w14:textId="7CC6FC96" w:rsidR="00A906F7" w:rsidRDefault="00A906F7" w:rsidP="00A906F7">
      <w:pPr>
        <w:pStyle w:val="NoSpacing"/>
      </w:pPr>
      <w:proofErr w:type="gramStart"/>
      <w:r>
        <w:rPr>
          <w:i/>
          <w:iCs/>
        </w:rPr>
        <w:t>E</w:t>
      </w:r>
      <w:r>
        <w:rPr>
          <w:vertAlign w:val="subscript"/>
        </w:rPr>
        <w:t>n</w:t>
      </w:r>
      <w:r>
        <w:t>,  n</w:t>
      </w:r>
      <w:proofErr w:type="gramEnd"/>
      <w:r>
        <w:t xml:space="preserve"> = 1. 2.... = base energy after adsorption of the 1.,2. ... n. molecule</w:t>
      </w:r>
    </w:p>
    <w:p w14:paraId="76E5B952" w14:textId="2ECBBC4C" w:rsidR="00A906F7" w:rsidRDefault="00A906F7" w:rsidP="00A906F7">
      <w:pPr>
        <w:pStyle w:val="NoSpacing"/>
      </w:pPr>
      <w:r w:rsidRPr="00E04F36">
        <w:rPr>
          <w:i/>
          <w:iCs/>
          <w:lang w:val="en-CA"/>
        </w:rPr>
        <w:fldChar w:fldCharType="begin"/>
      </w:r>
      <w:r w:rsidRPr="00E04F36">
        <w:rPr>
          <w:i/>
          <w:iCs/>
          <w:lang w:val="en-CA"/>
        </w:rPr>
        <w:instrText xml:space="preserve"> SEQ CHAPTER \h \r 1</w:instrText>
      </w:r>
      <w:r w:rsidRPr="00E04F36">
        <w:rPr>
          <w:i/>
          <w:iCs/>
          <w:lang w:val="en-CA"/>
        </w:rPr>
        <w:fldChar w:fldCharType="end"/>
      </w:r>
      <w:r w:rsidRPr="00E04F36">
        <w:rPr>
          <w:i/>
          <w:iCs/>
        </w:rPr>
        <w:t>ħ</w:t>
      </w:r>
      <w:r>
        <w:t xml:space="preserve"> (</w:t>
      </w:r>
      <w:r>
        <w:rPr>
          <w:i/>
          <w:iCs/>
        </w:rPr>
        <w:t>h</w:t>
      </w:r>
      <w:r>
        <w:t xml:space="preserve"> bar) = the reduced Plank’s constant = </w:t>
      </w:r>
      <w:r>
        <w:rPr>
          <w:i/>
          <w:iCs/>
        </w:rPr>
        <w:t>h/</w:t>
      </w:r>
      <w:r w:rsidRPr="00E35E71">
        <w:t>2</w:t>
      </w:r>
      <w:r w:rsidRPr="00E35E71">
        <w:sym w:font="Symbol" w:char="F070"/>
      </w:r>
    </w:p>
    <w:p w14:paraId="78524BB9" w14:textId="071B75F0" w:rsidR="000155A0" w:rsidRPr="000155A0" w:rsidRDefault="000155A0" w:rsidP="00A906F7">
      <w:pPr>
        <w:pStyle w:val="NoSpacing"/>
      </w:pPr>
      <w:r>
        <w:rPr>
          <w:i/>
          <w:iCs/>
        </w:rPr>
        <w:t>h</w:t>
      </w:r>
      <w:r>
        <w:t xml:space="preserve"> = the Plank’s constant = </w:t>
      </w:r>
      <w:r w:rsidR="00F137F6">
        <w:rPr>
          <w:rStyle w:val="nowrap"/>
        </w:rPr>
        <w:t>6.62607015×10</w:t>
      </w:r>
      <w:r w:rsidR="00F137F6">
        <w:rPr>
          <w:rStyle w:val="nowrap"/>
          <w:vertAlign w:val="superscript"/>
        </w:rPr>
        <w:t>−34</w:t>
      </w:r>
      <w:r w:rsidR="00F137F6">
        <w:rPr>
          <w:rStyle w:val="nowrap"/>
        </w:rPr>
        <w:t> J</w:t>
      </w:r>
      <w:r w:rsidR="00F137F6">
        <w:rPr>
          <w:rStyle w:val="nowrap"/>
          <w:rFonts w:ascii="Cambria Math" w:hAnsi="Cambria Math" w:cs="Cambria Math"/>
        </w:rPr>
        <w:t>⋅</w:t>
      </w:r>
      <w:r w:rsidR="00F137F6">
        <w:rPr>
          <w:rStyle w:val="nowrap"/>
        </w:rPr>
        <w:t>Hz</w:t>
      </w:r>
      <w:r w:rsidR="00F137F6">
        <w:rPr>
          <w:rStyle w:val="nowrap"/>
          <w:vertAlign w:val="superscript"/>
        </w:rPr>
        <w:t>−1</w:t>
      </w:r>
    </w:p>
    <w:p w14:paraId="660388E1" w14:textId="31899B8F" w:rsidR="00A906F7" w:rsidRDefault="00A906F7" w:rsidP="00A906F7">
      <w:pPr>
        <w:pStyle w:val="NoSpacing"/>
      </w:pPr>
      <w:r>
        <w:rPr>
          <w:i/>
          <w:iCs/>
        </w:rPr>
        <w:t>h</w:t>
      </w:r>
      <w:r>
        <w:t xml:space="preserve"> = radius of the pore </w:t>
      </w:r>
      <w:r w:rsidR="0008121B">
        <w:t xml:space="preserve">(core plus “thickness”) </w:t>
      </w:r>
      <w:r>
        <w:t>measured from the adsorbent surface.</w:t>
      </w:r>
    </w:p>
    <w:p w14:paraId="30A716F3" w14:textId="7B0ABDB2" w:rsidR="00A906F7" w:rsidRPr="001D5507" w:rsidRDefault="00A906F7" w:rsidP="00A906F7">
      <w:pPr>
        <w:pStyle w:val="NoSpacing"/>
      </w:pPr>
      <w:r>
        <w:rPr>
          <w:b/>
          <w:bCs/>
        </w:rPr>
        <w:t>G =</w:t>
      </w:r>
      <w:r>
        <w:t xml:space="preserve"> the normal distribution</w:t>
      </w:r>
    </w:p>
    <w:p w14:paraId="152841BF" w14:textId="77777777" w:rsidR="00A906F7" w:rsidRDefault="00A906F7" w:rsidP="00A906F7">
      <w:pPr>
        <w:pStyle w:val="NoSpacing"/>
      </w:pPr>
      <w:r w:rsidRPr="003A1C6D">
        <w:rPr>
          <w:rStyle w:val="copy-the-code-shortcode"/>
          <w:b/>
        </w:rPr>
        <w:t>Ĥ</w:t>
      </w:r>
      <w:r>
        <w:t xml:space="preserve"> = the Hamiltonian (matrix) operator</w:t>
      </w:r>
    </w:p>
    <w:p w14:paraId="446EEB38" w14:textId="77777777" w:rsidR="00A906F7" w:rsidRDefault="00A906F7" w:rsidP="00A906F7">
      <w:pPr>
        <w:pStyle w:val="NoSpacing"/>
      </w:pPr>
      <w:r>
        <w:t>H</w:t>
      </w:r>
      <w:r>
        <w:rPr>
          <w:rFonts w:ascii="AvantGarde Bk BT" w:hAnsi="AvantGarde Bk BT"/>
        </w:rPr>
        <w:t>'</w:t>
      </w:r>
      <w:r>
        <w:t xml:space="preserve"> </w:t>
      </w:r>
      <w:r w:rsidRPr="003703D6">
        <w:t>= the operator for the perturbation.  Here it is time independent.</w:t>
      </w:r>
    </w:p>
    <w:p w14:paraId="6E428AF9" w14:textId="77777777" w:rsidR="00A906F7" w:rsidRDefault="00A906F7" w:rsidP="00A906F7">
      <w:pPr>
        <w:pStyle w:val="NoSpacing"/>
      </w:pPr>
      <w:r>
        <w:rPr>
          <w:i/>
          <w:iCs/>
        </w:rPr>
        <w:t>H</w:t>
      </w:r>
      <w:r>
        <w:rPr>
          <w:vertAlign w:val="subscript"/>
        </w:rPr>
        <w:t>o</w:t>
      </w:r>
      <w:r>
        <w:t xml:space="preserve"> = Pre-exponential for the excess surface work function</w:t>
      </w:r>
    </w:p>
    <w:p w14:paraId="09DA652D" w14:textId="77777777" w:rsidR="00A906F7" w:rsidRPr="008C4C8B" w:rsidRDefault="00A906F7" w:rsidP="00A906F7">
      <w:pPr>
        <w:pStyle w:val="NoSpacing"/>
      </w:pPr>
      <w:r>
        <w:rPr>
          <w:i/>
          <w:iCs/>
        </w:rPr>
        <w:t>H</w:t>
      </w:r>
      <w:r>
        <w:rPr>
          <w:vertAlign w:val="subscript"/>
        </w:rPr>
        <w:t>o,</w:t>
      </w:r>
      <w:r>
        <w:rPr>
          <w:vertAlign w:val="subscript"/>
        </w:rPr>
        <w:sym w:font="Symbol" w:char="F0AF"/>
      </w:r>
      <w:r>
        <w:t xml:space="preserve"> = Pre-exponential for the excess surface work function for desorption</w:t>
      </w:r>
    </w:p>
    <w:p w14:paraId="1A68266C" w14:textId="77777777" w:rsidR="00A906F7" w:rsidRDefault="00A906F7" w:rsidP="00A906F7">
      <w:pPr>
        <w:pStyle w:val="NoSpacing"/>
      </w:pPr>
      <w:r>
        <w:rPr>
          <w:i/>
          <w:iCs/>
        </w:rPr>
        <w:t>k</w:t>
      </w:r>
      <w:r>
        <w:t xml:space="preserve"> = Boltzmann constant</w:t>
      </w:r>
    </w:p>
    <w:p w14:paraId="2896C41E" w14:textId="77777777" w:rsidR="00A906F7" w:rsidRPr="00E04F36" w:rsidRDefault="00A906F7" w:rsidP="00A906F7">
      <w:pPr>
        <w:pStyle w:val="NoSpacing"/>
        <w:rPr>
          <w:i/>
          <w:iCs/>
        </w:rPr>
      </w:pPr>
      <w:r>
        <w:rPr>
          <w:i/>
          <w:iCs/>
        </w:rPr>
        <w:t>L</w:t>
      </w:r>
      <w:r>
        <w:t xml:space="preserve"> = the 1D box length</w:t>
      </w:r>
    </w:p>
    <w:p w14:paraId="3AEE864B" w14:textId="77777777" w:rsidR="00A906F7" w:rsidRDefault="00A906F7" w:rsidP="00A906F7">
      <w:pPr>
        <w:pStyle w:val="NoSpacing"/>
      </w:pPr>
      <w:r>
        <w:rPr>
          <w:i/>
          <w:iCs/>
        </w:rPr>
        <w:t>m</w:t>
      </w:r>
      <w:r>
        <w:t xml:space="preserve"> (if alone) = mass of a particle</w:t>
      </w:r>
    </w:p>
    <w:p w14:paraId="6BA2CB74" w14:textId="77777777" w:rsidR="00A906F7" w:rsidRPr="002838F5" w:rsidRDefault="00A906F7" w:rsidP="00A906F7">
      <w:pPr>
        <w:pStyle w:val="NoSpacing"/>
      </w:pPr>
      <w:r>
        <w:rPr>
          <w:i/>
          <w:iCs/>
        </w:rPr>
        <w:t>m</w:t>
      </w:r>
      <w:r>
        <w:t xml:space="preserve"> = A number used in the Kelvin equation to account for geometry.</w:t>
      </w:r>
    </w:p>
    <w:p w14:paraId="5F6403AB" w14:textId="77777777" w:rsidR="00A906F7" w:rsidRDefault="00A906F7" w:rsidP="00A906F7">
      <w:pPr>
        <w:pStyle w:val="NoSpacing"/>
      </w:pPr>
      <w:r>
        <w:rPr>
          <w:i/>
          <w:iCs/>
        </w:rPr>
        <w:t>n</w:t>
      </w:r>
      <w:r>
        <w:rPr>
          <w:vertAlign w:val="subscript"/>
        </w:rPr>
        <w:t>m</w:t>
      </w:r>
      <w:r>
        <w:t xml:space="preserve"> = the quantity of molecules in a monolayer equivalence.</w:t>
      </w:r>
    </w:p>
    <w:p w14:paraId="1AEDB1EE" w14:textId="77777777" w:rsidR="00A906F7" w:rsidRPr="00E93FCF" w:rsidRDefault="00A906F7" w:rsidP="00A906F7">
      <w:pPr>
        <w:pStyle w:val="NoSpacing"/>
      </w:pPr>
      <w:r>
        <w:rPr>
          <w:i/>
          <w:iCs/>
        </w:rPr>
        <w:t>n</w:t>
      </w:r>
      <w:r>
        <w:rPr>
          <w:vertAlign w:val="subscript"/>
        </w:rPr>
        <w:t>p</w:t>
      </w:r>
      <w:r w:rsidRPr="007B0149">
        <w:t xml:space="preserve"> = </w:t>
      </w:r>
      <w:r>
        <w:t>the quantity of molecules in a pore.</w:t>
      </w:r>
    </w:p>
    <w:p w14:paraId="2BCFC623" w14:textId="77777777" w:rsidR="00A906F7" w:rsidRDefault="00A906F7" w:rsidP="00A906F7">
      <w:pPr>
        <w:pStyle w:val="NoSpacing"/>
      </w:pPr>
      <w:r>
        <w:rPr>
          <w:i/>
          <w:iCs/>
        </w:rPr>
        <w:t>P</w:t>
      </w:r>
      <w:r>
        <w:t xml:space="preserve"> = pressure of adsorptive (over adsorbent and at adsorbent temperature.)</w:t>
      </w:r>
    </w:p>
    <w:p w14:paraId="5CF0FBEA" w14:textId="77777777" w:rsidR="00A906F7" w:rsidRPr="005229E7" w:rsidRDefault="00A906F7" w:rsidP="00A906F7">
      <w:pPr>
        <w:pStyle w:val="NoSpacing"/>
      </w:pPr>
      <w:r>
        <w:rPr>
          <w:i/>
          <w:iCs/>
        </w:rPr>
        <w:t>P</w:t>
      </w:r>
      <w:r>
        <w:rPr>
          <w:vertAlign w:val="subscript"/>
        </w:rPr>
        <w:t>p</w:t>
      </w:r>
      <w:r>
        <w:t xml:space="preserve"> = pressure of mesopore onset.</w:t>
      </w:r>
    </w:p>
    <w:p w14:paraId="23FD19A0" w14:textId="77777777" w:rsidR="00A906F7" w:rsidRDefault="00A906F7" w:rsidP="00A906F7">
      <w:pPr>
        <w:pStyle w:val="NoSpacing"/>
      </w:pPr>
      <w:r>
        <w:rPr>
          <w:i/>
          <w:iCs/>
        </w:rPr>
        <w:t>P</w:t>
      </w:r>
      <w:r>
        <w:rPr>
          <w:vertAlign w:val="subscript"/>
        </w:rPr>
        <w:t>vap</w:t>
      </w:r>
      <w:r>
        <w:t xml:space="preserve"> = the vapor pressure of the adsorptive at the temperature of the adsorbent</w:t>
      </w:r>
    </w:p>
    <w:p w14:paraId="3FCCCBE4" w14:textId="77777777" w:rsidR="00A906F7" w:rsidRPr="003566D7" w:rsidRDefault="00A906F7" w:rsidP="00A906F7">
      <w:pPr>
        <w:pStyle w:val="NoSpacing"/>
      </w:pPr>
      <w:r w:rsidRPr="003566D7">
        <w:rPr>
          <w:i/>
          <w:iCs/>
        </w:rPr>
        <w:t>P</w:t>
      </w:r>
      <w:r w:rsidRPr="003566D7">
        <w:rPr>
          <w:vertAlign w:val="subscript"/>
        </w:rPr>
        <w:t>vap</w:t>
      </w:r>
      <w:r w:rsidRPr="003566D7">
        <w:t>(</w:t>
      </w:r>
      <w:r w:rsidRPr="003566D7">
        <w:rPr>
          <w:i/>
          <w:iCs/>
        </w:rPr>
        <w:t>T</w:t>
      </w:r>
      <w:r w:rsidRPr="003566D7">
        <w:t xml:space="preserve">) </w:t>
      </w:r>
      <w:r>
        <w:t xml:space="preserve">= The vapor pressure of the adsorptive at temperature </w:t>
      </w:r>
      <w:r>
        <w:rPr>
          <w:i/>
          <w:iCs/>
        </w:rPr>
        <w:t>T</w:t>
      </w:r>
      <w:r>
        <w:t>.</w:t>
      </w:r>
    </w:p>
    <w:p w14:paraId="2EB6CF95" w14:textId="77777777" w:rsidR="00A906F7" w:rsidRDefault="00A906F7" w:rsidP="00A906F7">
      <w:pPr>
        <w:pStyle w:val="NoSpacing"/>
      </w:pPr>
      <w:r>
        <w:rPr>
          <w:i/>
          <w:iCs/>
        </w:rPr>
        <w:t>P</w:t>
      </w:r>
      <w:r w:rsidRPr="000F7CB4">
        <w:rPr>
          <w:i/>
          <w:iCs/>
          <w:vertAlign w:val="subscript"/>
        </w:rPr>
        <w:t>ς</w:t>
      </w:r>
      <w:r>
        <w:t xml:space="preserve"> = threshold pressure</w:t>
      </w:r>
    </w:p>
    <w:p w14:paraId="3646543B" w14:textId="77777777" w:rsidR="00A906F7" w:rsidRDefault="00A906F7" w:rsidP="00A906F7">
      <w:pPr>
        <w:pStyle w:val="NoSpacing"/>
      </w:pPr>
      <w:r w:rsidRPr="004A3D45">
        <w:rPr>
          <w:i/>
          <w:iCs/>
        </w:rPr>
        <w:fldChar w:fldCharType="begin"/>
      </w:r>
      <w:r w:rsidRPr="004A3D45">
        <w:rPr>
          <w:i/>
          <w:iCs/>
        </w:rPr>
        <w:instrText>EQ \O(p)</w:instrText>
      </w:r>
      <w:r w:rsidRPr="004A3D45">
        <w:rPr>
          <w:i/>
          <w:iCs/>
        </w:rPr>
        <w:fldChar w:fldCharType="end"/>
      </w:r>
      <w:r>
        <w:rPr>
          <w:i/>
          <w:iCs/>
        </w:rPr>
        <w:t xml:space="preserve">̃ </w:t>
      </w:r>
      <w:r>
        <w:t xml:space="preserve">= fugacity </w:t>
      </w:r>
    </w:p>
    <w:p w14:paraId="431A31C0" w14:textId="77777777" w:rsidR="00A906F7" w:rsidRDefault="00A906F7" w:rsidP="00A906F7">
      <w:pPr>
        <w:pStyle w:val="NoSpacing"/>
      </w:pPr>
      <w:r w:rsidRPr="00DC6153">
        <w:rPr>
          <w:i/>
          <w:iCs/>
        </w:rPr>
        <w:t>r</w:t>
      </w:r>
      <w:r>
        <w:rPr>
          <w:i/>
          <w:iCs/>
        </w:rPr>
        <w:t xml:space="preserve"> =</w:t>
      </w:r>
      <w:r w:rsidRPr="00F530C2">
        <w:t xml:space="preserve"> pore radius</w:t>
      </w:r>
    </w:p>
    <w:p w14:paraId="5EF3762E" w14:textId="77777777" w:rsidR="00A906F7" w:rsidRDefault="00A906F7" w:rsidP="00A906F7">
      <w:pPr>
        <w:pStyle w:val="NoSpacing"/>
      </w:pPr>
      <w:r>
        <w:rPr>
          <w:i/>
          <w:iCs/>
        </w:rPr>
        <w:t>R</w:t>
      </w:r>
      <w:r>
        <w:t xml:space="preserve"> = the gas constant</w:t>
      </w:r>
    </w:p>
    <w:p w14:paraId="3D099DF9" w14:textId="77777777" w:rsidR="00A906F7" w:rsidRDefault="00A906F7" w:rsidP="00A906F7">
      <w:pPr>
        <w:pStyle w:val="NoSpacing"/>
      </w:pPr>
      <w:proofErr w:type="spellStart"/>
      <w:r w:rsidRPr="00DC6153">
        <w:rPr>
          <w:i/>
          <w:iCs/>
        </w:rPr>
        <w:t>r</w:t>
      </w:r>
      <w:r>
        <w:rPr>
          <w:vertAlign w:val="subscript"/>
        </w:rPr>
        <w:t>core</w:t>
      </w:r>
      <w:proofErr w:type="spellEnd"/>
      <w:r>
        <w:rPr>
          <w:i/>
          <w:iCs/>
        </w:rPr>
        <w:t xml:space="preserve"> =</w:t>
      </w:r>
      <w:r w:rsidRPr="00F530C2">
        <w:t xml:space="preserve"> </w:t>
      </w:r>
      <w:r>
        <w:t>(</w:t>
      </w:r>
      <w:r>
        <w:rPr>
          <w:i/>
          <w:iCs/>
        </w:rPr>
        <w:t>h</w:t>
      </w:r>
      <w:r>
        <w:t xml:space="preserve"> – </w:t>
      </w:r>
      <w:r>
        <w:rPr>
          <w:i/>
          <w:iCs/>
        </w:rPr>
        <w:t>t</w:t>
      </w:r>
      <w:r>
        <w:t>) the “core” radius</w:t>
      </w:r>
    </w:p>
    <w:p w14:paraId="34FE3C70" w14:textId="77777777" w:rsidR="00A906F7" w:rsidRDefault="00A906F7" w:rsidP="00A906F7">
      <w:pPr>
        <w:pStyle w:val="NoSpacing"/>
      </w:pPr>
      <w:r>
        <w:rPr>
          <w:i/>
          <w:iCs/>
        </w:rPr>
        <w:t>T</w:t>
      </w:r>
      <w:r>
        <w:t xml:space="preserve"> = temperature in K</w:t>
      </w:r>
    </w:p>
    <w:p w14:paraId="18616C82" w14:textId="77777777" w:rsidR="00A906F7" w:rsidRPr="00E93FCF" w:rsidRDefault="00A906F7" w:rsidP="00A906F7">
      <w:pPr>
        <w:pStyle w:val="NoSpacing"/>
      </w:pPr>
      <w:r>
        <w:rPr>
          <w:i/>
          <w:iCs/>
        </w:rPr>
        <w:t>t</w:t>
      </w:r>
      <w:r>
        <w:t xml:space="preserve"> = the adsorbent “thickness”</w:t>
      </w:r>
    </w:p>
    <w:p w14:paraId="6C8C6634" w14:textId="77777777" w:rsidR="00A906F7" w:rsidRPr="003566D7" w:rsidRDefault="00A906F7" w:rsidP="00A906F7">
      <w:pPr>
        <w:pStyle w:val="NoSpacing"/>
      </w:pPr>
      <w:r>
        <w:rPr>
          <w:i/>
          <w:iCs/>
        </w:rPr>
        <w:t>T</w:t>
      </w:r>
      <w:r>
        <w:rPr>
          <w:vertAlign w:val="subscript"/>
        </w:rPr>
        <w:t>a</w:t>
      </w:r>
      <w:r>
        <w:t xml:space="preserve"> = meaning at the temperature of the adsorbent</w:t>
      </w:r>
    </w:p>
    <w:p w14:paraId="6139D4D2" w14:textId="08A38948" w:rsidR="00A906F7" w:rsidRPr="007B5CE0" w:rsidRDefault="00A906F7" w:rsidP="00A906F7">
      <w:pPr>
        <w:pStyle w:val="NoSpacing"/>
      </w:pPr>
      <w:r>
        <w:rPr>
          <w:i/>
          <w:iCs/>
        </w:rPr>
        <w:t>T</w:t>
      </w:r>
      <w:r>
        <w:rPr>
          <w:vertAlign w:val="subscript"/>
        </w:rPr>
        <w:t>BP</w:t>
      </w:r>
      <w:r>
        <w:t xml:space="preserve"> = The standard boiling point temperature</w:t>
      </w:r>
      <w:r w:rsidR="00F137F6">
        <w:t xml:space="preserve"> of absorptive</w:t>
      </w:r>
    </w:p>
    <w:p w14:paraId="02A666EB" w14:textId="5CFF42B3" w:rsidR="00A906F7" w:rsidRDefault="00A906F7" w:rsidP="00A906F7">
      <w:pPr>
        <w:pStyle w:val="NoSpacing"/>
      </w:pPr>
      <w:r>
        <w:rPr>
          <w:i/>
          <w:iCs/>
        </w:rPr>
        <w:t>T</w:t>
      </w:r>
      <w:r>
        <w:rPr>
          <w:vertAlign w:val="subscript"/>
        </w:rPr>
        <w:t>c</w:t>
      </w:r>
      <w:r>
        <w:t xml:space="preserve"> = the critical temperature</w:t>
      </w:r>
      <w:r w:rsidR="00F137F6">
        <w:t xml:space="preserve"> of absorptive</w:t>
      </w:r>
    </w:p>
    <w:p w14:paraId="44C6E4B1" w14:textId="15FEB963" w:rsidR="00A906F7" w:rsidRDefault="00A906F7" w:rsidP="00A906F7">
      <w:pPr>
        <w:pStyle w:val="NoSpacing"/>
      </w:pPr>
      <w:r>
        <w:rPr>
          <w:i/>
          <w:iCs/>
        </w:rPr>
        <w:t>T</w:t>
      </w:r>
      <w:r>
        <w:rPr>
          <w:vertAlign w:val="subscript"/>
        </w:rPr>
        <w:t>MP</w:t>
      </w:r>
      <w:r>
        <w:t xml:space="preserve"> = The melting point temperature</w:t>
      </w:r>
      <w:r w:rsidR="00F137F6">
        <w:t xml:space="preserve"> of absorptive</w:t>
      </w:r>
    </w:p>
    <w:p w14:paraId="1D40314C" w14:textId="77777777" w:rsidR="00A906F7" w:rsidRDefault="00A906F7" w:rsidP="00A906F7">
      <w:pPr>
        <w:pStyle w:val="NoSpacing"/>
      </w:pPr>
      <w:r>
        <w:t>U = Unit step function.</w:t>
      </w:r>
    </w:p>
    <w:p w14:paraId="42AFF6AB" w14:textId="77777777" w:rsidR="00A906F7" w:rsidRPr="00F530C2" w:rsidRDefault="00A906F7" w:rsidP="00A906F7">
      <w:pPr>
        <w:pStyle w:val="NoSpacing"/>
        <w:rPr>
          <w:i/>
          <w:iCs/>
        </w:rPr>
      </w:pPr>
      <w:r w:rsidRPr="00F530C2">
        <w:rPr>
          <w:i/>
          <w:iCs/>
        </w:rPr>
        <w:t>͞</w:t>
      </w:r>
      <m:oMath>
        <m:acc>
          <m:accPr>
            <m:chr m:val="̅"/>
            <m:ctrlPr>
              <w:rPr>
                <w:rFonts w:ascii="Cambria Math" w:hAnsi="Cambria Math"/>
                <w:i/>
                <w:sz w:val="20"/>
              </w:rPr>
            </m:ctrlPr>
          </m:accPr>
          <m:e>
            <m:r>
              <w:rPr>
                <w:rFonts w:ascii="Cambria Math" w:hAnsi="Cambria Math"/>
              </w:rPr>
              <m:t>V</m:t>
            </m:r>
          </m:e>
        </m:acc>
      </m:oMath>
      <w:r>
        <w:rPr>
          <w:i/>
          <w:iCs/>
        </w:rPr>
        <w:t xml:space="preserve"> = </w:t>
      </w:r>
      <w:r w:rsidRPr="00F530C2">
        <w:t>molar volume</w:t>
      </w:r>
    </w:p>
    <w:p w14:paraId="7396D197" w14:textId="77777777" w:rsidR="00A906F7" w:rsidRDefault="00A906F7" w:rsidP="00A906F7">
      <w:pPr>
        <w:pStyle w:val="NoSpacing"/>
      </w:pPr>
      <w:r>
        <w:rPr>
          <w:i/>
          <w:iCs/>
        </w:rPr>
        <w:t>X = P/P</w:t>
      </w:r>
      <w:r>
        <w:rPr>
          <w:vertAlign w:val="subscript"/>
        </w:rPr>
        <w:t>vap</w:t>
      </w:r>
      <w:r>
        <w:t xml:space="preserve"> the "relative pressure"</w:t>
      </w:r>
    </w:p>
    <w:p w14:paraId="7BF37507" w14:textId="77777777" w:rsidR="00A906F7" w:rsidRDefault="00A906F7" w:rsidP="00A906F7">
      <w:pPr>
        <w:pStyle w:val="NoSpacing"/>
      </w:pPr>
      <w:r w:rsidRPr="00CA17F7">
        <w:rPr>
          <w:b/>
          <w:bCs/>
        </w:rPr>
        <w:t>Z</w:t>
      </w:r>
      <w:r>
        <w:t xml:space="preserve"> = the statistical area function. </w:t>
      </w:r>
      <w:r>
        <w:fldChar w:fldCharType="begin"/>
      </w:r>
      <w:r>
        <w:instrText xml:space="preserve"> REF _Ref168133704 \h </w:instrText>
      </w:r>
      <w:r>
        <w:fldChar w:fldCharType="separate"/>
      </w:r>
      <w:r w:rsidRPr="001C4A8B">
        <w:rPr>
          <w:i/>
          <w:iCs/>
        </w:rPr>
        <w:t xml:space="preserve">Equation </w:t>
      </w:r>
      <w:r>
        <w:rPr>
          <w:i/>
          <w:iCs/>
          <w:noProof/>
        </w:rPr>
        <w:t>66</w:t>
      </w:r>
      <w:r>
        <w:fldChar w:fldCharType="end"/>
      </w:r>
    </w:p>
    <w:p w14:paraId="66E5F141" w14:textId="77777777" w:rsidR="00F137F6" w:rsidRDefault="00F137F6" w:rsidP="00A906F7">
      <w:pPr>
        <w:pStyle w:val="NoSpacing"/>
      </w:pPr>
    </w:p>
    <w:p w14:paraId="45DD9264" w14:textId="52121060" w:rsidR="00A906F7" w:rsidRPr="002911AB" w:rsidRDefault="00A906F7" w:rsidP="001D36D2">
      <w:pPr>
        <w:pStyle w:val="NoSpacing"/>
        <w:outlineLvl w:val="1"/>
        <w:rPr>
          <w:i/>
          <w:iCs/>
        </w:rPr>
      </w:pPr>
      <w:bookmarkStart w:id="72" w:name="_Toc171582159"/>
      <w:r>
        <w:rPr>
          <w:i/>
          <w:iCs/>
        </w:rPr>
        <w:t>Starting with</w:t>
      </w:r>
      <w:r w:rsidR="00A9273F">
        <w:rPr>
          <w:i/>
          <w:iCs/>
        </w:rPr>
        <w:t xml:space="preserve"> a</w:t>
      </w:r>
      <w:r>
        <w:rPr>
          <w:i/>
          <w:iCs/>
        </w:rPr>
        <w:t xml:space="preserve"> Greek letter</w:t>
      </w:r>
      <w:bookmarkEnd w:id="72"/>
    </w:p>
    <w:p w14:paraId="229D0880" w14:textId="77777777" w:rsidR="00F137F6" w:rsidRDefault="00F137F6" w:rsidP="00F137F6">
      <w:pPr>
        <w:pStyle w:val="NoSpacing"/>
      </w:pPr>
      <w:r>
        <w:sym w:font="Symbol" w:char="F062"/>
      </w:r>
      <w:r>
        <w:t xml:space="preserve"> = a constant that is dependent upon the number of adsorbate molecules</w:t>
      </w:r>
    </w:p>
    <w:p w14:paraId="6045E21D" w14:textId="75927D02" w:rsidR="00A906F7" w:rsidRPr="00F506C7" w:rsidRDefault="00A906F7" w:rsidP="00A906F7">
      <w:pPr>
        <w:pStyle w:val="NoSpacing"/>
      </w:pPr>
      <w:r>
        <w:sym w:font="Symbol" w:char="F062"/>
      </w:r>
      <w:r>
        <w:rPr>
          <w:vertAlign w:val="subscript"/>
        </w:rPr>
        <w:t>D</w:t>
      </w:r>
      <w:r>
        <w:t xml:space="preserve"> = the Dubinin, et al., scaling factor</w:t>
      </w:r>
    </w:p>
    <w:p w14:paraId="74005FED" w14:textId="77777777" w:rsidR="00A906F7" w:rsidRDefault="00A906F7" w:rsidP="00A906F7">
      <w:pPr>
        <w:pStyle w:val="NoSpacing"/>
      </w:pPr>
      <w:r>
        <w:sym w:font="Symbol" w:char="F067"/>
      </w:r>
      <w:r>
        <w:t xml:space="preserve"> = Surface tension of the adsorbate</w:t>
      </w:r>
    </w:p>
    <w:p w14:paraId="4D6D0ECB" w14:textId="77777777" w:rsidR="00A906F7" w:rsidRPr="00AC30C0" w:rsidRDefault="00A906F7" w:rsidP="00A906F7">
      <w:pPr>
        <w:pStyle w:val="NoSpacing"/>
      </w:pPr>
      <w:proofErr w:type="spellStart"/>
      <w:r>
        <w:t>Δ</w:t>
      </w:r>
      <w:r w:rsidRPr="00E35E71">
        <w:rPr>
          <w:vertAlign w:val="subscript"/>
        </w:rPr>
        <w:t>l</w:t>
      </w:r>
      <w:r w:rsidRPr="00E35E71">
        <w:rPr>
          <w:vertAlign w:val="superscript"/>
        </w:rPr>
        <w:t>a</w:t>
      </w:r>
      <w:r>
        <w:t>S</w:t>
      </w:r>
      <w:proofErr w:type="spellEnd"/>
      <w:r>
        <w:t xml:space="preserve"> = the entropy of adsorption with standard state of the liquid state at the </w:t>
      </w:r>
      <w:r>
        <w:rPr>
          <w:i/>
          <w:iCs/>
        </w:rPr>
        <w:t xml:space="preserve">T </w:t>
      </w:r>
      <w:r>
        <w:t>of the adsorbent</w:t>
      </w:r>
    </w:p>
    <w:p w14:paraId="6BDD59C9" w14:textId="77777777" w:rsidR="00A906F7" w:rsidRPr="007E524A" w:rsidRDefault="00A906F7" w:rsidP="00A906F7">
      <w:pPr>
        <w:pStyle w:val="NoSpacing"/>
        <w:rPr>
          <w:vertAlign w:val="subscript"/>
        </w:rPr>
      </w:pPr>
      <w:proofErr w:type="spellStart"/>
      <w:r w:rsidRPr="00845C16">
        <w:lastRenderedPageBreak/>
        <w:t>Δ</w:t>
      </w:r>
      <w:r>
        <w:rPr>
          <w:i/>
          <w:iCs/>
          <w:vertAlign w:val="subscript"/>
        </w:rPr>
        <w:t>l</w:t>
      </w:r>
      <w:r>
        <w:rPr>
          <w:vertAlign w:val="superscript"/>
        </w:rPr>
        <w:t>a</w:t>
      </w:r>
      <w:r>
        <w:rPr>
          <w:rFonts w:cs="Times New Roman"/>
        </w:rPr>
        <w:t>μ</w:t>
      </w:r>
      <w:proofErr w:type="spellEnd"/>
      <w:r>
        <w:t xml:space="preserve"> = change in chemical potential from liquid phase at adsorbent </w:t>
      </w:r>
      <w:r>
        <w:rPr>
          <w:i/>
          <w:iCs/>
        </w:rPr>
        <w:t>T</w:t>
      </w:r>
      <w:r>
        <w:t xml:space="preserve"> to the adsorbate.</w:t>
      </w:r>
    </w:p>
    <w:p w14:paraId="25CA5E45" w14:textId="77777777" w:rsidR="00A906F7" w:rsidRDefault="00A906F7" w:rsidP="00A906F7">
      <w:pPr>
        <w:pStyle w:val="NoSpacing"/>
      </w:pPr>
      <w:r>
        <w:t>Δχ = χ-χ</w:t>
      </w:r>
      <w:r w:rsidRPr="000F7CB4">
        <w:rPr>
          <w:vertAlign w:val="subscript"/>
        </w:rPr>
        <w:t>ς</w:t>
      </w:r>
    </w:p>
    <w:p w14:paraId="5F8F466B" w14:textId="77777777" w:rsidR="00A906F7" w:rsidRDefault="00A906F7" w:rsidP="00A906F7">
      <w:pPr>
        <w:pStyle w:val="NoSpacing"/>
      </w:pPr>
      <w:proofErr w:type="spellStart"/>
      <w:r>
        <w:t>Δχ</w:t>
      </w:r>
      <w:r>
        <w:rPr>
          <w:vertAlign w:val="subscript"/>
        </w:rPr>
        <w:t>p</w:t>
      </w:r>
      <w:proofErr w:type="spellEnd"/>
      <w:r>
        <w:t xml:space="preserve"> = the position on the Δχ-plot where the peak for </w:t>
      </w:r>
      <w:proofErr w:type="spellStart"/>
      <w:r>
        <w:t>σ</w:t>
      </w:r>
      <w:r>
        <w:rPr>
          <w:vertAlign w:val="subscript"/>
        </w:rPr>
        <w:t>p</w:t>
      </w:r>
      <w:proofErr w:type="spellEnd"/>
      <w:r w:rsidRPr="00F530C2">
        <w:t xml:space="preserve"> is.</w:t>
      </w:r>
    </w:p>
    <w:p w14:paraId="168D7068" w14:textId="77777777" w:rsidR="00A906F7" w:rsidRDefault="00A906F7" w:rsidP="00A906F7">
      <w:pPr>
        <w:pStyle w:val="NoSpacing"/>
        <w:rPr>
          <w:vertAlign w:val="subscript"/>
        </w:rPr>
      </w:pPr>
      <w:r w:rsidRPr="00845C16">
        <w:t>Δχ</w:t>
      </w:r>
      <w:r>
        <w:t>-</w:t>
      </w:r>
      <w:r w:rsidRPr="00845C16">
        <w:t>plot</w:t>
      </w:r>
      <w:r>
        <w:t xml:space="preserve"> = a plot of </w:t>
      </w:r>
      <w:r>
        <w:rPr>
          <w:i/>
          <w:iCs/>
        </w:rPr>
        <w:t>n</w:t>
      </w:r>
      <w:r>
        <w:rPr>
          <w:vertAlign w:val="subscript"/>
        </w:rPr>
        <w:t>ads</w:t>
      </w:r>
      <w:r>
        <w:t xml:space="preserve"> versus χ-χ</w:t>
      </w:r>
      <w:r w:rsidRPr="000F7CB4">
        <w:rPr>
          <w:vertAlign w:val="subscript"/>
        </w:rPr>
        <w:t>ς</w:t>
      </w:r>
    </w:p>
    <w:p w14:paraId="4B1E1115" w14:textId="77777777" w:rsidR="00A906F7" w:rsidRDefault="00A906F7" w:rsidP="00A906F7">
      <w:pPr>
        <w:pStyle w:val="NoSpacing"/>
      </w:pPr>
      <w:r>
        <w:t>ε = [internal] energy of vaporization at the adsorbent temperature (determined)</w:t>
      </w:r>
    </w:p>
    <w:p w14:paraId="2F1884ED" w14:textId="77777777" w:rsidR="00A906F7" w:rsidRDefault="00A906F7" w:rsidP="00A906F7">
      <w:pPr>
        <w:pStyle w:val="NoSpacing"/>
      </w:pPr>
      <w:r w:rsidRPr="005E7D64">
        <w:t>θ</w:t>
      </w:r>
      <w:r>
        <w:t xml:space="preserve"> = classical “coverage.”  QM </w:t>
      </w:r>
      <w:bookmarkStart w:id="73" w:name="_Hlk149042573"/>
      <w:r>
        <w:t>relative areal density compared to 1 monolayer equivalence</w:t>
      </w:r>
      <w:bookmarkEnd w:id="73"/>
      <w:r>
        <w:t xml:space="preserve"> </w:t>
      </w:r>
    </w:p>
    <w:p w14:paraId="5AB04A5E" w14:textId="77777777" w:rsidR="00A906F7" w:rsidRDefault="00A906F7" w:rsidP="00A906F7">
      <w:pPr>
        <w:pStyle w:val="NoSpacing"/>
      </w:pPr>
      <w:r w:rsidRPr="00A63C5D">
        <w:t>θ</w:t>
      </w:r>
      <w:r w:rsidRPr="00A63C5D">
        <w:rPr>
          <w:vertAlign w:val="subscript"/>
        </w:rPr>
        <w:t>1</w:t>
      </w:r>
      <w:r w:rsidRPr="00A63C5D">
        <w:t xml:space="preserve"> </w:t>
      </w:r>
      <w:r>
        <w:t xml:space="preserve">= or </w:t>
      </w:r>
      <w:r w:rsidRPr="00A63C5D">
        <w:t>relative areal density</w:t>
      </w:r>
      <w:r>
        <w:t xml:space="preserve"> of “layer” 1</w:t>
      </w:r>
      <w:r w:rsidRPr="00A63C5D">
        <w:t xml:space="preserve"> compared to </w:t>
      </w:r>
      <w:r w:rsidRPr="00A63C5D">
        <w:rPr>
          <w:i/>
          <w:iCs/>
        </w:rPr>
        <w:t>n</w:t>
      </w:r>
      <w:r w:rsidRPr="00A63C5D">
        <w:rPr>
          <w:vertAlign w:val="subscript"/>
        </w:rPr>
        <w:t xml:space="preserve">m </w:t>
      </w:r>
      <w:r w:rsidRPr="00A63C5D">
        <w:t xml:space="preserve">= 1 </w:t>
      </w:r>
    </w:p>
    <w:p w14:paraId="3821E2EC" w14:textId="77777777" w:rsidR="00A906F7" w:rsidRPr="008A5185" w:rsidRDefault="00A906F7" w:rsidP="00A906F7">
      <w:pPr>
        <w:pStyle w:val="NoSpacing"/>
      </w:pPr>
      <w:proofErr w:type="spellStart"/>
      <w:r>
        <w:t>θ</w:t>
      </w:r>
      <w:r>
        <w:rPr>
          <w:vertAlign w:val="subscript"/>
        </w:rPr>
        <w:t>MT</w:t>
      </w:r>
      <w:proofErr w:type="spellEnd"/>
      <w:r>
        <w:t xml:space="preserve"> = classically the area not covered by θ.  In QM:  = 1 – θ</w:t>
      </w:r>
      <w:r>
        <w:rPr>
          <w:vertAlign w:val="subscript"/>
        </w:rPr>
        <w:t>1</w:t>
      </w:r>
    </w:p>
    <w:p w14:paraId="070B4B5C" w14:textId="77777777" w:rsidR="00A906F7" w:rsidRPr="00EC256D" w:rsidRDefault="00A906F7" w:rsidP="00A906F7">
      <w:pPr>
        <w:pStyle w:val="NoSpacing"/>
      </w:pPr>
      <w:proofErr w:type="spellStart"/>
      <w:r w:rsidRPr="00A63C5D">
        <w:t>θ</w:t>
      </w:r>
      <w:r>
        <w:rPr>
          <w:vertAlign w:val="subscript"/>
        </w:rPr>
        <w:t>n</w:t>
      </w:r>
      <w:proofErr w:type="spellEnd"/>
      <w:r w:rsidRPr="00A63C5D">
        <w:t xml:space="preserve"> </w:t>
      </w:r>
      <w:r>
        <w:t xml:space="preserve">= or </w:t>
      </w:r>
      <w:r w:rsidRPr="00A63C5D">
        <w:t>relative areal density</w:t>
      </w:r>
      <w:r>
        <w:t xml:space="preserve"> of “layer” n</w:t>
      </w:r>
      <w:r w:rsidRPr="00A63C5D">
        <w:t xml:space="preserve"> compared to </w:t>
      </w:r>
      <w:r w:rsidRPr="00A63C5D">
        <w:rPr>
          <w:i/>
          <w:iCs/>
        </w:rPr>
        <w:t>n</w:t>
      </w:r>
      <w:r w:rsidRPr="00A63C5D">
        <w:rPr>
          <w:vertAlign w:val="subscript"/>
        </w:rPr>
        <w:t xml:space="preserve">m </w:t>
      </w:r>
      <w:r w:rsidRPr="00A63C5D">
        <w:t>= 1</w:t>
      </w:r>
    </w:p>
    <w:p w14:paraId="5756B0CF" w14:textId="77777777" w:rsidR="00A906F7" w:rsidRDefault="00A906F7" w:rsidP="00A906F7">
      <w:pPr>
        <w:pStyle w:val="NoSpacing"/>
      </w:pPr>
      <w:r>
        <w:sym w:font="Symbol" w:char="F06C"/>
      </w:r>
      <w:r>
        <w:t xml:space="preserve"> = the position of the minimum in the ESW, shown to be at 1 monolayer equivalent.</w:t>
      </w:r>
    </w:p>
    <w:p w14:paraId="33C9CB5E" w14:textId="5D550AEB" w:rsidR="00A906F7" w:rsidRDefault="00A906F7" w:rsidP="00A906F7">
      <w:pPr>
        <w:pStyle w:val="NoSpacing"/>
      </w:pPr>
      <w:r>
        <w:sym w:font="Symbol" w:char="F06C"/>
      </w:r>
      <w:r>
        <w:rPr>
          <w:i/>
          <w:iCs/>
        </w:rPr>
        <w:t>Z =</w:t>
      </w:r>
      <w:r>
        <w:t xml:space="preserve"> the canonical partition function</w:t>
      </w:r>
      <w:r w:rsidR="00F137F6">
        <w:t xml:space="preserve"> of absorptive</w:t>
      </w:r>
    </w:p>
    <w:p w14:paraId="5F8BAAA4" w14:textId="77777777" w:rsidR="00A906F7" w:rsidRDefault="00A906F7" w:rsidP="00A906F7">
      <w:pPr>
        <w:pStyle w:val="NoSpacing"/>
      </w:pPr>
      <w:r>
        <w:rPr>
          <w:rFonts w:cs="Times New Roman"/>
        </w:rPr>
        <w:t>μ</w:t>
      </w:r>
      <w:r>
        <w:t xml:space="preserve"> = chemical potential (molar quantity)</w:t>
      </w:r>
    </w:p>
    <w:p w14:paraId="0C1E3916" w14:textId="77777777" w:rsidR="00A906F7" w:rsidRDefault="00A906F7" w:rsidP="00A906F7">
      <w:pPr>
        <w:pStyle w:val="NoSpacing"/>
      </w:pPr>
      <w:proofErr w:type="spellStart"/>
      <w:r>
        <w:rPr>
          <w:rFonts w:cs="Times New Roman"/>
        </w:rPr>
        <w:t>μ</w:t>
      </w:r>
      <w:r>
        <w:rPr>
          <w:rFonts w:cs="Times New Roman"/>
          <w:vertAlign w:val="subscript"/>
        </w:rPr>
        <w:t>a</w:t>
      </w:r>
      <w:proofErr w:type="spellEnd"/>
      <w:r>
        <w:t xml:space="preserve"> = chemical potential of the adsorbate</w:t>
      </w:r>
    </w:p>
    <w:p w14:paraId="7E80BCDB" w14:textId="77777777" w:rsidR="00A906F7" w:rsidRPr="00C83F6E" w:rsidRDefault="00A906F7" w:rsidP="00A906F7">
      <w:pPr>
        <w:pStyle w:val="NoSpacing"/>
      </w:pPr>
      <w:proofErr w:type="spellStart"/>
      <w:r>
        <w:rPr>
          <w:rFonts w:cs="Times New Roman"/>
        </w:rPr>
        <w:t>μ</w:t>
      </w:r>
      <w:r>
        <w:rPr>
          <w:rFonts w:cs="Times New Roman"/>
          <w:i/>
          <w:iCs/>
          <w:vertAlign w:val="subscript"/>
        </w:rPr>
        <w:t>l</w:t>
      </w:r>
      <w:proofErr w:type="spellEnd"/>
      <w:r>
        <w:t xml:space="preserve"> = chemical potential of the liquid phase at the temperature of the adsorbent.</w:t>
      </w:r>
    </w:p>
    <w:p w14:paraId="2BDA22C8" w14:textId="77777777" w:rsidR="00A906F7" w:rsidRDefault="00A906F7" w:rsidP="00A906F7">
      <w:pPr>
        <w:pStyle w:val="NoSpacing"/>
      </w:pPr>
      <w:r w:rsidRPr="00F506C7">
        <w:sym w:font="Symbol" w:char="F058"/>
      </w:r>
      <w:r>
        <w:t xml:space="preserve"> = Grand Canonical Partition Function GCPF</w:t>
      </w:r>
    </w:p>
    <w:p w14:paraId="6A752AFF" w14:textId="77777777" w:rsidR="00A906F7" w:rsidRPr="00DC6153" w:rsidRDefault="00A906F7" w:rsidP="00A906F7">
      <w:pPr>
        <w:pStyle w:val="NoSpacing"/>
      </w:pPr>
      <w:r>
        <w:rPr>
          <w:rFonts w:cs="Times New Roman"/>
        </w:rPr>
        <w:t>Π</w:t>
      </w:r>
      <w:r w:rsidRPr="00DC6153">
        <w:rPr>
          <w:rFonts w:cs="Times New Roman"/>
        </w:rPr>
        <w:t>(</w:t>
      </w:r>
      <w:r w:rsidRPr="00DC6153">
        <w:rPr>
          <w:rFonts w:cs="Times New Roman"/>
          <w:i/>
          <w:iCs/>
        </w:rPr>
        <w:t>t</w:t>
      </w:r>
      <w:r w:rsidRPr="00DC6153">
        <w:rPr>
          <w:rFonts w:cs="Times New Roman"/>
        </w:rPr>
        <w:t>)</w:t>
      </w:r>
      <w:r>
        <w:t xml:space="preserve"> </w:t>
      </w:r>
      <w:r w:rsidRPr="00DC6153">
        <w:t>= Excess Surface Work</w:t>
      </w:r>
      <w:r>
        <w:t xml:space="preserve"> – a function of adsorbate “thickness.”</w:t>
      </w:r>
    </w:p>
    <w:p w14:paraId="2BFF5866" w14:textId="77777777" w:rsidR="00A906F7" w:rsidRDefault="00A906F7" w:rsidP="00A906F7">
      <w:pPr>
        <w:pStyle w:val="NoSpacing"/>
      </w:pPr>
      <w:r>
        <w:t xml:space="preserve">σ = the spread of values of multiple </w:t>
      </w:r>
      <w:proofErr w:type="spellStart"/>
      <w:r>
        <w:t>χ</w:t>
      </w:r>
      <w:r w:rsidRPr="004D1250">
        <w:rPr>
          <w:vertAlign w:val="subscript"/>
        </w:rPr>
        <w:t>ς</w:t>
      </w:r>
      <w:r>
        <w:t>s</w:t>
      </w:r>
      <w:proofErr w:type="spellEnd"/>
      <w:r>
        <w:t xml:space="preserve"> </w:t>
      </w:r>
    </w:p>
    <w:p w14:paraId="7DEEF9C6" w14:textId="77777777" w:rsidR="00A906F7" w:rsidRPr="00900BFA" w:rsidRDefault="00A906F7" w:rsidP="00A906F7">
      <w:pPr>
        <w:pStyle w:val="NoSpacing"/>
      </w:pPr>
      <w:proofErr w:type="spellStart"/>
      <w:r>
        <w:t>σ</w:t>
      </w:r>
      <w:r>
        <w:rPr>
          <w:vertAlign w:val="subscript"/>
        </w:rPr>
        <w:t>fit</w:t>
      </w:r>
      <w:proofErr w:type="spellEnd"/>
      <w:r>
        <w:t xml:space="preserve"> = the standard deviation of </w:t>
      </w:r>
      <w:r>
        <w:rPr>
          <w:i/>
          <w:iCs/>
        </w:rPr>
        <w:t>n</w:t>
      </w:r>
      <w:r>
        <w:rPr>
          <w:vertAlign w:val="subscript"/>
        </w:rPr>
        <w:t>a</w:t>
      </w:r>
      <w:r>
        <w:t xml:space="preserve"> calculated values versus </w:t>
      </w:r>
      <w:r>
        <w:rPr>
          <w:i/>
          <w:iCs/>
        </w:rPr>
        <w:t>n</w:t>
      </w:r>
      <w:r>
        <w:rPr>
          <w:vertAlign w:val="subscript"/>
        </w:rPr>
        <w:t>a</w:t>
      </w:r>
      <w:r>
        <w:t xml:space="preserve"> experimental values.</w:t>
      </w:r>
    </w:p>
    <w:p w14:paraId="53F10E06" w14:textId="77777777" w:rsidR="00A906F7" w:rsidRDefault="00A906F7" w:rsidP="00A906F7">
      <w:pPr>
        <w:pStyle w:val="NoSpacing"/>
      </w:pPr>
      <w:r>
        <w:t>χ = -ln(-ln(</w:t>
      </w:r>
      <w:r>
        <w:rPr>
          <w:i/>
          <w:iCs/>
        </w:rPr>
        <w:t>P</w:t>
      </w:r>
      <w:r>
        <w:t>/</w:t>
      </w:r>
      <w:r>
        <w:rPr>
          <w:i/>
          <w:iCs/>
        </w:rPr>
        <w:t>P</w:t>
      </w:r>
      <w:r>
        <w:rPr>
          <w:vertAlign w:val="subscript"/>
        </w:rPr>
        <w:t>vap</w:t>
      </w:r>
      <w:r>
        <w:t>))</w:t>
      </w:r>
    </w:p>
    <w:p w14:paraId="0A72BEB9" w14:textId="77777777" w:rsidR="00F137F6" w:rsidRDefault="00A906F7" w:rsidP="00A906F7">
      <w:pPr>
        <w:pStyle w:val="NoSpacing"/>
        <w:rPr>
          <w:rFonts w:cs="Times New Roman"/>
        </w:rPr>
      </w:pPr>
      <w:r>
        <w:t>χ</w:t>
      </w:r>
      <w:r w:rsidRPr="000F7CB4">
        <w:rPr>
          <w:i/>
          <w:iCs/>
          <w:vertAlign w:val="subscript"/>
        </w:rPr>
        <w:t>ς</w:t>
      </w:r>
      <w:r>
        <w:t xml:space="preserve"> = the threshold χ = </w:t>
      </w:r>
      <w:r>
        <w:rPr>
          <w:rFonts w:cs="Times New Roman"/>
        </w:rPr>
        <w:t>-ln(-ln(</w:t>
      </w:r>
      <w:r w:rsidRPr="00E93FCF">
        <w:rPr>
          <w:rFonts w:cs="Times New Roman"/>
          <w:i/>
          <w:iCs/>
        </w:rPr>
        <w:t>P</w:t>
      </w:r>
      <w:r>
        <w:rPr>
          <w:rFonts w:cs="Times New Roman"/>
          <w:vertAlign w:val="subscript"/>
        </w:rPr>
        <w:t>ς</w:t>
      </w:r>
      <w:r>
        <w:rPr>
          <w:rFonts w:cs="Times New Roman"/>
        </w:rPr>
        <w:t>/</w:t>
      </w:r>
      <w:r w:rsidRPr="00E93FCF">
        <w:rPr>
          <w:rFonts w:cs="Times New Roman"/>
          <w:i/>
          <w:iCs/>
        </w:rPr>
        <w:t>P</w:t>
      </w:r>
      <w:r>
        <w:rPr>
          <w:rFonts w:cs="Times New Roman"/>
          <w:vertAlign w:val="subscript"/>
        </w:rPr>
        <w:t>vap</w:t>
      </w:r>
      <w:r>
        <w:rPr>
          <w:rFonts w:cs="Times New Roman"/>
        </w:rPr>
        <w:t>))</w:t>
      </w:r>
    </w:p>
    <w:p w14:paraId="4DD83073" w14:textId="3B10B168" w:rsidR="00A906F7" w:rsidRDefault="00A906F7" w:rsidP="00A906F7">
      <w:pPr>
        <w:pStyle w:val="NoSpacing"/>
      </w:pPr>
      <w:r>
        <w:t>&lt;χ</w:t>
      </w:r>
      <w:r w:rsidRPr="004D1250">
        <w:rPr>
          <w:vertAlign w:val="subscript"/>
        </w:rPr>
        <w:t>ς</w:t>
      </w:r>
      <w:r>
        <w:t xml:space="preserve">&gt; = the mean of the addition of several manifolds of χ-plots and their </w:t>
      </w:r>
      <w:proofErr w:type="spellStart"/>
      <w:r>
        <w:t>χ</w:t>
      </w:r>
      <w:r w:rsidRPr="004D1250">
        <w:rPr>
          <w:vertAlign w:val="subscript"/>
        </w:rPr>
        <w:t>ς</w:t>
      </w:r>
      <w:r>
        <w:t>s</w:t>
      </w:r>
      <w:proofErr w:type="spellEnd"/>
    </w:p>
    <w:p w14:paraId="79C78D8E" w14:textId="77777777" w:rsidR="00A906F7" w:rsidRPr="001937F1" w:rsidRDefault="00A906F7" w:rsidP="00A906F7">
      <w:pPr>
        <w:pStyle w:val="NoSpacing"/>
      </w:pPr>
      <w:r>
        <w:sym w:font="Symbol" w:char="F063"/>
      </w:r>
      <w:r>
        <w:rPr>
          <w:vertAlign w:val="superscript"/>
        </w:rPr>
        <w:t>-1</w:t>
      </w:r>
      <w:r>
        <w:t xml:space="preserve"> = the inverse chi function = exp(-exp(-(x-</w:t>
      </w:r>
      <w:r>
        <w:rPr>
          <w:rFonts w:cs="Times New Roman"/>
        </w:rPr>
        <w:t>μ</w:t>
      </w:r>
      <w:r>
        <w:t>)/s)</w:t>
      </w:r>
    </w:p>
    <w:p w14:paraId="778E825C" w14:textId="77777777" w:rsidR="00A906F7" w:rsidRDefault="00A906F7" w:rsidP="00A906F7">
      <w:pPr>
        <w:pStyle w:val="NoSpacing"/>
      </w:pPr>
      <w:r>
        <w:sym w:font="Symbol" w:char="F059"/>
      </w:r>
      <w:r>
        <w:t xml:space="preserve"> = the time dependent portion of the particle wave function(s)</w:t>
      </w:r>
    </w:p>
    <w:p w14:paraId="312BF457" w14:textId="77777777" w:rsidR="00A906F7" w:rsidRDefault="00A906F7" w:rsidP="00A906F7">
      <w:pPr>
        <w:pStyle w:val="NoSpacing"/>
      </w:pPr>
      <w:r>
        <w:sym w:font="Symbol" w:char="F079"/>
      </w:r>
      <w:r>
        <w:t xml:space="preserve"> = the time independent portion of the particle wave function(s)</w:t>
      </w:r>
    </w:p>
    <w:p w14:paraId="7E497D40" w14:textId="77777777" w:rsidR="00A906F7" w:rsidRDefault="00A906F7" w:rsidP="00A906F7">
      <w:pPr>
        <w:pStyle w:val="NoSpacing"/>
      </w:pPr>
      <w:r>
        <w:sym w:font="Symbol" w:char="F079"/>
      </w:r>
      <w:r>
        <w:t xml:space="preserve">* = the complex conjugate of </w:t>
      </w:r>
      <w:r>
        <w:sym w:font="Symbol" w:char="F079"/>
      </w:r>
      <w:r>
        <w:t xml:space="preserve"> (redundant in bra-</w:t>
      </w:r>
      <w:proofErr w:type="spellStart"/>
      <w:r>
        <w:t>kets</w:t>
      </w:r>
      <w:proofErr w:type="spellEnd"/>
      <w:r>
        <w:t xml:space="preserve">) </w:t>
      </w:r>
    </w:p>
    <w:p w14:paraId="645703AC" w14:textId="77777777" w:rsidR="00A906F7" w:rsidRDefault="00A906F7" w:rsidP="00A906F7">
      <w:pPr>
        <w:pStyle w:val="NoSpacing"/>
      </w:pPr>
    </w:p>
    <w:p w14:paraId="7934CE66" w14:textId="77777777" w:rsidR="00A906F7" w:rsidRPr="00981AFD" w:rsidRDefault="00A906F7" w:rsidP="001D36D2">
      <w:pPr>
        <w:pStyle w:val="NoSpacing"/>
        <w:outlineLvl w:val="1"/>
      </w:pPr>
      <w:bookmarkStart w:id="74" w:name="_Toc170817927"/>
      <w:bookmarkStart w:id="75" w:name="_Toc171582160"/>
      <w:r w:rsidRPr="00F9532C">
        <w:rPr>
          <w:i/>
          <w:iCs/>
        </w:rPr>
        <w:t>Subscripts and Superscripts</w:t>
      </w:r>
      <w:bookmarkEnd w:id="74"/>
      <w:bookmarkEnd w:id="75"/>
      <w:r>
        <w:t xml:space="preserve"> </w:t>
      </w:r>
    </w:p>
    <w:p w14:paraId="79DF14FD" w14:textId="77777777" w:rsidR="00A906F7" w:rsidRPr="00D32100" w:rsidRDefault="00A906F7" w:rsidP="00A906F7">
      <w:pPr>
        <w:pStyle w:val="NoSpacing"/>
      </w:pPr>
      <w:r>
        <w:rPr>
          <w:vertAlign w:val="subscript"/>
        </w:rPr>
        <w:t>m</w:t>
      </w:r>
      <w:r>
        <w:t xml:space="preserve"> = monolayer, not used for molar which is the overbar (ISO/IUPAC alternate method)</w:t>
      </w:r>
    </w:p>
    <w:p w14:paraId="7E352A83" w14:textId="77777777" w:rsidR="00A906F7" w:rsidRPr="00900BFA" w:rsidRDefault="00A906F7" w:rsidP="00A906F7">
      <w:pPr>
        <w:pStyle w:val="NoSpacing"/>
      </w:pPr>
      <w:r>
        <w:rPr>
          <w:vertAlign w:val="superscript"/>
        </w:rPr>
        <w:t>o</w:t>
      </w:r>
      <w:r>
        <w:t xml:space="preserve"> = </w:t>
      </w:r>
      <w:proofErr w:type="spellStart"/>
      <w:r>
        <w:rPr>
          <w:vertAlign w:val="subscript"/>
        </w:rPr>
        <w:t>vap</w:t>
      </w:r>
      <w:proofErr w:type="spellEnd"/>
      <w:r>
        <w:t xml:space="preserve"> to follow tradition</w:t>
      </w:r>
    </w:p>
    <w:p w14:paraId="58ACE67D" w14:textId="77777777" w:rsidR="00A906F7" w:rsidRDefault="00A906F7" w:rsidP="00A906F7">
      <w:pPr>
        <w:pStyle w:val="NoSpacing"/>
      </w:pPr>
      <w:r w:rsidRPr="00292B01">
        <w:rPr>
          <w:vertAlign w:val="subscript"/>
        </w:rPr>
        <w:t>pore</w:t>
      </w:r>
      <w:r>
        <w:t xml:space="preserve"> = of the pores, varies as to type but there should be no ambiguity.</w:t>
      </w:r>
    </w:p>
    <w:p w14:paraId="7C132FD5" w14:textId="77777777" w:rsidR="00A906F7" w:rsidRPr="00E93FCF" w:rsidRDefault="00A906F7" w:rsidP="00A906F7">
      <w:pPr>
        <w:pStyle w:val="NoSpacing"/>
      </w:pPr>
      <w:r>
        <w:rPr>
          <w:vertAlign w:val="subscript"/>
        </w:rPr>
        <w:t>p</w:t>
      </w:r>
      <w:r>
        <w:t xml:space="preserve"> = of mesopores</w:t>
      </w:r>
    </w:p>
    <w:p w14:paraId="071F0A33" w14:textId="77777777" w:rsidR="00A906F7" w:rsidRDefault="00A906F7" w:rsidP="00A906F7">
      <w:pPr>
        <w:pStyle w:val="NoSpacing"/>
      </w:pPr>
      <w:proofErr w:type="spellStart"/>
      <w:r w:rsidRPr="008D2AC6">
        <w:rPr>
          <w:vertAlign w:val="subscript"/>
        </w:rPr>
        <w:t>vap</w:t>
      </w:r>
      <w:proofErr w:type="spellEnd"/>
      <w:r w:rsidRPr="00981AFD">
        <w:t xml:space="preserve"> = of vaporization</w:t>
      </w:r>
    </w:p>
    <w:p w14:paraId="4CD6F7E8" w14:textId="77777777" w:rsidR="00A906F7" w:rsidRDefault="00A906F7" w:rsidP="00A906F7">
      <w:pPr>
        <w:pStyle w:val="NoSpacing"/>
      </w:pPr>
      <w:r w:rsidRPr="000F7CB4">
        <w:rPr>
          <w:vertAlign w:val="subscript"/>
        </w:rPr>
        <w:t>ς</w:t>
      </w:r>
      <w:r>
        <w:t xml:space="preserve"> = a threshold quantity</w:t>
      </w:r>
    </w:p>
    <w:p w14:paraId="6DF14DA7" w14:textId="77777777" w:rsidR="00A906F7" w:rsidRDefault="00A906F7" w:rsidP="00A906F7">
      <w:pPr>
        <w:pStyle w:val="NoSpacing"/>
      </w:pPr>
      <w:proofErr w:type="spellStart"/>
      <w:r>
        <w:t>σ</w:t>
      </w:r>
      <w:r>
        <w:rPr>
          <w:vertAlign w:val="subscript"/>
        </w:rPr>
        <w:t>p</w:t>
      </w:r>
      <w:proofErr w:type="spellEnd"/>
      <w:r>
        <w:t xml:space="preserve"> = the normal distribution spread of the pore dimensions</w:t>
      </w:r>
    </w:p>
    <w:p w14:paraId="5D3CFFB8" w14:textId="77777777" w:rsidR="00A906F7" w:rsidRDefault="00A906F7" w:rsidP="00A906F7">
      <w:pPr>
        <w:pStyle w:val="NoSpacing"/>
      </w:pPr>
      <w:proofErr w:type="spellStart"/>
      <w:r>
        <w:t>χ</w:t>
      </w:r>
      <w:r>
        <w:rPr>
          <w:vertAlign w:val="subscript"/>
        </w:rPr>
        <w:t>p</w:t>
      </w:r>
      <w:proofErr w:type="spellEnd"/>
      <w:r>
        <w:t xml:space="preserve"> = the position on the χ-plot where the peak for </w:t>
      </w:r>
      <w:proofErr w:type="spellStart"/>
      <w:r>
        <w:t>σ</w:t>
      </w:r>
      <w:r>
        <w:rPr>
          <w:vertAlign w:val="subscript"/>
        </w:rPr>
        <w:t>p</w:t>
      </w:r>
      <w:proofErr w:type="spellEnd"/>
      <w:r w:rsidRPr="00F530C2">
        <w:t xml:space="preserve"> is.</w:t>
      </w:r>
    </w:p>
    <w:p w14:paraId="082B2005" w14:textId="77777777" w:rsidR="00A906F7" w:rsidRDefault="00A906F7" w:rsidP="00A906F7">
      <w:pPr>
        <w:pStyle w:val="NoSpacing"/>
        <w:rPr>
          <w:vertAlign w:val="subscript"/>
        </w:rPr>
      </w:pPr>
      <w:r>
        <w:rPr>
          <w:vertAlign w:val="subscript"/>
        </w:rPr>
        <w:sym w:font="Symbol" w:char="F0AD"/>
      </w:r>
      <w:r>
        <w:t xml:space="preserve"> = for adsorption versus </w:t>
      </w:r>
      <w:r>
        <w:rPr>
          <w:vertAlign w:val="subscript"/>
        </w:rPr>
        <w:sym w:font="Symbol" w:char="F0AF"/>
      </w:r>
    </w:p>
    <w:p w14:paraId="7978220D" w14:textId="77777777" w:rsidR="00A906F7" w:rsidRDefault="00A906F7" w:rsidP="00A906F7">
      <w:pPr>
        <w:pStyle w:val="NoSpacing"/>
      </w:pPr>
      <w:r>
        <w:rPr>
          <w:vertAlign w:val="subscript"/>
        </w:rPr>
        <w:sym w:font="Symbol" w:char="F0AF"/>
      </w:r>
      <w:r>
        <w:t xml:space="preserve"> = for desorption versus</w:t>
      </w:r>
    </w:p>
    <w:p w14:paraId="10BF3C72" w14:textId="77777777" w:rsidR="00A906F7" w:rsidRDefault="00A906F7" w:rsidP="00A906F7">
      <w:pPr>
        <w:pStyle w:val="NoSpacing"/>
      </w:pPr>
      <w:proofErr w:type="gramStart"/>
      <w:r>
        <w:t>“:=</w:t>
      </w:r>
      <w:proofErr w:type="gramEnd"/>
      <w:r>
        <w:t>” = equal by definition (the def over the equal sign is not yet Unicode.)</w:t>
      </w:r>
    </w:p>
    <w:p w14:paraId="312A7BBC" w14:textId="5BCE3870" w:rsidR="000E57E3" w:rsidRDefault="000E57E3" w:rsidP="00A906F7">
      <w:pPr>
        <w:pStyle w:val="NoSpacing"/>
      </w:pPr>
      <w:r>
        <w:rPr>
          <w:i/>
          <w:iCs/>
          <w:vertAlign w:val="superscript"/>
        </w:rPr>
        <w:t>l</w:t>
      </w:r>
      <w:r>
        <w:rPr>
          <w:i/>
          <w:iCs/>
        </w:rPr>
        <w:t xml:space="preserve"> or </w:t>
      </w:r>
      <w:r>
        <w:rPr>
          <w:i/>
          <w:iCs/>
          <w:vertAlign w:val="subscript"/>
        </w:rPr>
        <w:t xml:space="preserve">l </w:t>
      </w:r>
      <w:r>
        <w:rPr>
          <w:i/>
          <w:iCs/>
        </w:rPr>
        <w:t xml:space="preserve">= </w:t>
      </w:r>
      <w:r>
        <w:t xml:space="preserve">superscript to liquid state, subscript from liquid state (at adsorbent </w:t>
      </w:r>
      <w:r>
        <w:rPr>
          <w:i/>
          <w:iCs/>
        </w:rPr>
        <w:t>T</w:t>
      </w:r>
      <w:r>
        <w:t>)</w:t>
      </w:r>
    </w:p>
    <w:p w14:paraId="6036C0D1" w14:textId="1157FF40" w:rsidR="000E57E3" w:rsidRPr="000E57E3" w:rsidRDefault="000E57E3" w:rsidP="000E57E3">
      <w:pPr>
        <w:pStyle w:val="NoSpacing"/>
      </w:pPr>
      <w:r w:rsidRPr="000E57E3">
        <w:rPr>
          <w:vertAlign w:val="superscript"/>
        </w:rPr>
        <w:t>a</w:t>
      </w:r>
      <w:r w:rsidRPr="000E57E3">
        <w:t xml:space="preserve"> or </w:t>
      </w:r>
      <w:r w:rsidRPr="000E57E3">
        <w:rPr>
          <w:vertAlign w:val="subscript"/>
        </w:rPr>
        <w:t xml:space="preserve">a </w:t>
      </w:r>
      <w:r w:rsidRPr="000E57E3">
        <w:t>= superscript to adsorbate state, subscript from adsorbate state (at adsorbent T)</w:t>
      </w:r>
    </w:p>
    <w:p w14:paraId="6997924C" w14:textId="67B67F17" w:rsidR="000E57E3" w:rsidRPr="000E57E3" w:rsidRDefault="000E57E3" w:rsidP="000E57E3">
      <w:pPr>
        <w:pStyle w:val="NoSpacing"/>
      </w:pPr>
      <w:r w:rsidRPr="000E57E3">
        <w:rPr>
          <w:vertAlign w:val="superscript"/>
        </w:rPr>
        <w:t>g</w:t>
      </w:r>
      <w:r w:rsidRPr="000E57E3">
        <w:t xml:space="preserve"> or </w:t>
      </w:r>
      <w:r w:rsidRPr="000E57E3">
        <w:rPr>
          <w:vertAlign w:val="subscript"/>
        </w:rPr>
        <w:t xml:space="preserve">g </w:t>
      </w:r>
      <w:r w:rsidRPr="000E57E3">
        <w:t xml:space="preserve">= superscript to gas state, subscript from </w:t>
      </w:r>
      <w:r>
        <w:t>gas</w:t>
      </w:r>
      <w:r w:rsidRPr="000E57E3">
        <w:t xml:space="preserve"> state (at adsorbent T)</w:t>
      </w:r>
    </w:p>
    <w:p w14:paraId="05538AE9" w14:textId="77777777" w:rsidR="000E57E3" w:rsidRPr="000E57E3" w:rsidRDefault="000E57E3" w:rsidP="00A906F7">
      <w:pPr>
        <w:pStyle w:val="NoSpacing"/>
      </w:pPr>
    </w:p>
    <w:p w14:paraId="137E8E4D" w14:textId="77777777" w:rsidR="00A906F7" w:rsidRPr="00981AFD" w:rsidRDefault="00A906F7" w:rsidP="00A906F7">
      <w:pPr>
        <w:pStyle w:val="NoSpacing"/>
      </w:pPr>
    </w:p>
    <w:p w14:paraId="7925CBE1" w14:textId="77777777" w:rsidR="00A906F7" w:rsidRPr="008D2AC6" w:rsidRDefault="00A906F7" w:rsidP="001D36D2">
      <w:pPr>
        <w:pStyle w:val="NoSpacing"/>
        <w:outlineLvl w:val="1"/>
      </w:pPr>
      <w:bookmarkStart w:id="76" w:name="_Toc170817928"/>
      <w:bookmarkStart w:id="77" w:name="_Toc171582161"/>
      <w:r w:rsidRPr="00F9532C">
        <w:rPr>
          <w:i/>
          <w:iCs/>
        </w:rPr>
        <w:t>Other marks</w:t>
      </w:r>
      <w:r w:rsidRPr="008D2AC6">
        <w:t>:</w:t>
      </w:r>
      <w:bookmarkEnd w:id="76"/>
      <w:bookmarkEnd w:id="77"/>
    </w:p>
    <w:p w14:paraId="3A0B6183" w14:textId="77777777" w:rsidR="00A906F7" w:rsidRPr="00900BFA" w:rsidRDefault="00A906F7" w:rsidP="00A906F7">
      <w:pPr>
        <w:pStyle w:val="NoSpacing"/>
      </w:pPr>
      <w:r w:rsidRPr="008D2AC6">
        <w:t xml:space="preserve"> ͞x </w:t>
      </w:r>
      <w:r>
        <w:t>(</w:t>
      </w:r>
      <w:r w:rsidRPr="008D2AC6">
        <w:t>over line</w:t>
      </w:r>
      <w:r>
        <w:t xml:space="preserve">) = </w:t>
      </w:r>
      <w:r w:rsidRPr="008D2AC6">
        <w:t xml:space="preserve">per mole of x, see preemptive </w:t>
      </w:r>
      <w:proofErr w:type="gramStart"/>
      <w:r w:rsidRPr="008D2AC6">
        <w:rPr>
          <w:vertAlign w:val="subscript"/>
        </w:rPr>
        <w:t>m</w:t>
      </w:r>
      <w:r>
        <w:t xml:space="preserve"> ,</w:t>
      </w:r>
      <w:proofErr w:type="gramEnd"/>
    </w:p>
    <w:p w14:paraId="61A8B248" w14:textId="77777777" w:rsidR="00A906F7" w:rsidRPr="00981AFD" w:rsidRDefault="00A906F7" w:rsidP="00A906F7">
      <w:pPr>
        <w:pStyle w:val="NoSpacing"/>
      </w:pPr>
    </w:p>
    <w:p w14:paraId="1FCC703D" w14:textId="77777777" w:rsidR="00A906F7" w:rsidRPr="008D2AC6" w:rsidRDefault="00A906F7" w:rsidP="001D36D2">
      <w:pPr>
        <w:pStyle w:val="NoSpacing"/>
        <w:outlineLvl w:val="1"/>
      </w:pPr>
      <w:bookmarkStart w:id="78" w:name="_Toc170817929"/>
      <w:bookmarkStart w:id="79" w:name="_Toc171582162"/>
      <w:r w:rsidRPr="00F9532C">
        <w:rPr>
          <w:i/>
          <w:iCs/>
        </w:rPr>
        <w:lastRenderedPageBreak/>
        <w:t>Abbreviations</w:t>
      </w:r>
      <w:r w:rsidRPr="008D2AC6">
        <w:t>:</w:t>
      </w:r>
      <w:bookmarkEnd w:id="78"/>
      <w:bookmarkEnd w:id="79"/>
    </w:p>
    <w:p w14:paraId="00FAA636" w14:textId="77777777" w:rsidR="00A906F7" w:rsidRPr="000B6476" w:rsidRDefault="00A906F7" w:rsidP="00A906F7">
      <w:pPr>
        <w:pStyle w:val="NoSpacing"/>
      </w:pPr>
      <w:r>
        <w:t xml:space="preserve">AALR = </w:t>
      </w:r>
      <w:r w:rsidRPr="00173FF2">
        <w:t>Silvestre-Albero, Silvestre-Albero, Llewellyn,</w:t>
      </w:r>
      <w:r>
        <w:t xml:space="preserve"> </w:t>
      </w:r>
      <w:r w:rsidRPr="00173FF2">
        <w:t>and Rodríguez-Reinoso</w:t>
      </w:r>
    </w:p>
    <w:p w14:paraId="2AC71520" w14:textId="77777777" w:rsidR="00A906F7" w:rsidRPr="008D2AC6" w:rsidRDefault="00A906F7" w:rsidP="00A906F7">
      <w:pPr>
        <w:pStyle w:val="NoSpacing"/>
      </w:pPr>
      <w:r w:rsidRPr="008D2AC6">
        <w:t xml:space="preserve">BET </w:t>
      </w:r>
      <w:r>
        <w:t>=</w:t>
      </w:r>
      <w:r w:rsidRPr="008D2AC6">
        <w:t xml:space="preserve"> Brunauer, Emmett and Teller </w:t>
      </w:r>
    </w:p>
    <w:p w14:paraId="3282263F" w14:textId="77777777" w:rsidR="00A906F7" w:rsidRDefault="00A906F7" w:rsidP="00A906F7">
      <w:pPr>
        <w:pStyle w:val="NoSpacing"/>
      </w:pPr>
      <w:r w:rsidRPr="00B441A3">
        <w:t>DD52</w:t>
      </w:r>
      <w:r>
        <w:t xml:space="preserve"> = a microporous activate carbon</w:t>
      </w:r>
    </w:p>
    <w:p w14:paraId="46021804" w14:textId="77777777" w:rsidR="00A906F7" w:rsidRDefault="00A906F7" w:rsidP="00A906F7">
      <w:pPr>
        <w:pStyle w:val="NoSpacing"/>
      </w:pPr>
      <w:r>
        <w:t>DFT = Density Functional Theory (non-QM)</w:t>
      </w:r>
    </w:p>
    <w:p w14:paraId="59601A78" w14:textId="77777777" w:rsidR="00A906F7" w:rsidRDefault="00A906F7" w:rsidP="00A906F7">
      <w:pPr>
        <w:pStyle w:val="NoSpacing"/>
        <w:rPr>
          <w:rStyle w:val="expandableitem"/>
        </w:rPr>
      </w:pPr>
      <w:r>
        <w:rPr>
          <w:rStyle w:val="expandableitem"/>
        </w:rPr>
        <w:t>DoD = Department of Defense</w:t>
      </w:r>
    </w:p>
    <w:p w14:paraId="56E45AFD" w14:textId="77777777" w:rsidR="00A906F7" w:rsidRDefault="00A906F7" w:rsidP="00A906F7">
      <w:pPr>
        <w:pStyle w:val="NoSpacing"/>
        <w:rPr>
          <w:rStyle w:val="expandableitem"/>
        </w:rPr>
      </w:pPr>
      <w:r>
        <w:rPr>
          <w:rStyle w:val="expandableitem"/>
        </w:rPr>
        <w:t>DOE = Department of Energy</w:t>
      </w:r>
    </w:p>
    <w:p w14:paraId="11837D3F" w14:textId="77777777" w:rsidR="00A906F7" w:rsidRDefault="00A906F7" w:rsidP="00A906F7">
      <w:pPr>
        <w:pStyle w:val="NoSpacing"/>
      </w:pPr>
      <w:r>
        <w:t>ESW = Excess Surface Work</w:t>
      </w:r>
    </w:p>
    <w:p w14:paraId="7C688B7C" w14:textId="77777777" w:rsidR="00A906F7" w:rsidRDefault="00A906F7" w:rsidP="00A906F7">
      <w:pPr>
        <w:pStyle w:val="NoSpacing"/>
      </w:pPr>
      <w:r>
        <w:t>FDR = of the Full Data Range</w:t>
      </w:r>
    </w:p>
    <w:p w14:paraId="51BC1DB0" w14:textId="77777777" w:rsidR="00A906F7" w:rsidRDefault="00A906F7" w:rsidP="00A906F7">
      <w:pPr>
        <w:pStyle w:val="NoSpacing"/>
      </w:pPr>
      <w:r>
        <w:t>GCPF = Grand Canonical Partition Function</w:t>
      </w:r>
    </w:p>
    <w:p w14:paraId="38CBDCB4" w14:textId="77777777" w:rsidR="00A906F7" w:rsidRDefault="00A906F7" w:rsidP="00A906F7">
      <w:pPr>
        <w:pStyle w:val="NoSpacing"/>
      </w:pPr>
      <w:r>
        <w:t xml:space="preserve">HV = High Vacuum </w:t>
      </w:r>
      <w:r>
        <w:rPr>
          <w:rStyle w:val="hscoswrapper"/>
        </w:rPr>
        <w:t>between 10</w:t>
      </w:r>
      <w:r w:rsidRPr="00CB0727">
        <w:rPr>
          <w:rStyle w:val="hscoswrapper"/>
          <w:vertAlign w:val="superscript"/>
        </w:rPr>
        <w:t>-</w:t>
      </w:r>
      <w:r>
        <w:rPr>
          <w:rStyle w:val="hscoswrapper"/>
          <w:vertAlign w:val="superscript"/>
        </w:rPr>
        <w:t>3</w:t>
      </w:r>
      <w:r>
        <w:rPr>
          <w:rStyle w:val="hscoswrapper"/>
        </w:rPr>
        <w:t xml:space="preserve"> and 10</w:t>
      </w:r>
      <w:r w:rsidRPr="00CB0727">
        <w:rPr>
          <w:rStyle w:val="hscoswrapper"/>
          <w:vertAlign w:val="superscript"/>
        </w:rPr>
        <w:t>-7</w:t>
      </w:r>
      <w:r>
        <w:rPr>
          <w:rStyle w:val="hscoswrapper"/>
        </w:rPr>
        <w:t xml:space="preserve"> mbar</w:t>
      </w:r>
    </w:p>
    <w:p w14:paraId="7FDEB137" w14:textId="77777777" w:rsidR="00A906F7" w:rsidRPr="008D2AC6" w:rsidRDefault="00A906F7" w:rsidP="00A906F7">
      <w:pPr>
        <w:pStyle w:val="NoSpacing"/>
      </w:pPr>
      <w:r w:rsidRPr="008D2AC6">
        <w:t xml:space="preserve">IUPAC </w:t>
      </w:r>
      <w:r>
        <w:t>=</w:t>
      </w:r>
      <w:r w:rsidRPr="008D2AC6">
        <w:t xml:space="preserve"> International Union of Pure and Applied Chemistry</w:t>
      </w:r>
    </w:p>
    <w:p w14:paraId="1D41844B" w14:textId="77777777" w:rsidR="00A906F7" w:rsidRDefault="00A906F7" w:rsidP="00A906F7">
      <w:pPr>
        <w:pStyle w:val="NoSpacing"/>
      </w:pPr>
      <w:r>
        <w:t>LMA233 = a microporous activate carbon</w:t>
      </w:r>
    </w:p>
    <w:p w14:paraId="757CE7B7" w14:textId="77777777" w:rsidR="00A906F7" w:rsidRDefault="00A906F7" w:rsidP="00A906F7">
      <w:pPr>
        <w:pStyle w:val="NoSpacing"/>
        <w:rPr>
          <w:rStyle w:val="expandableitem"/>
        </w:rPr>
      </w:pPr>
      <w:r w:rsidRPr="008A4887">
        <w:t>NASA</w:t>
      </w:r>
      <w:r>
        <w:t xml:space="preserve"> = </w:t>
      </w:r>
      <w:r>
        <w:rPr>
          <w:rStyle w:val="expandableitem"/>
        </w:rPr>
        <w:t>National Aeronautics and Space Administration</w:t>
      </w:r>
    </w:p>
    <w:p w14:paraId="53D259B4" w14:textId="77777777" w:rsidR="00A906F7" w:rsidRDefault="00A906F7" w:rsidP="00A906F7">
      <w:pPr>
        <w:pStyle w:val="NoSpacing"/>
        <w:rPr>
          <w:rStyle w:val="expandableitem"/>
        </w:rPr>
      </w:pPr>
      <w:r>
        <w:rPr>
          <w:rStyle w:val="expandableitem"/>
        </w:rPr>
        <w:t xml:space="preserve">NLLS = </w:t>
      </w:r>
      <w:proofErr w:type="gramStart"/>
      <w:r>
        <w:rPr>
          <w:rStyle w:val="expandableitem"/>
        </w:rPr>
        <w:t>Non Linear</w:t>
      </w:r>
      <w:proofErr w:type="gramEnd"/>
      <w:r>
        <w:rPr>
          <w:rStyle w:val="expandableitem"/>
        </w:rPr>
        <w:t xml:space="preserve"> Least Squares</w:t>
      </w:r>
    </w:p>
    <w:p w14:paraId="47C842E7" w14:textId="77777777" w:rsidR="00A906F7" w:rsidRDefault="00A906F7" w:rsidP="00A906F7">
      <w:pPr>
        <w:pStyle w:val="NoSpacing"/>
      </w:pPr>
      <w:r w:rsidRPr="008D2AC6">
        <w:t xml:space="preserve">QM </w:t>
      </w:r>
      <w:r>
        <w:t>=</w:t>
      </w:r>
      <w:r w:rsidRPr="008D2AC6">
        <w:t xml:space="preserve"> Quantum Mechanics</w:t>
      </w:r>
    </w:p>
    <w:p w14:paraId="68BB8310" w14:textId="77777777" w:rsidR="00A906F7" w:rsidRDefault="00A906F7" w:rsidP="00A906F7">
      <w:pPr>
        <w:pStyle w:val="NoSpacing"/>
      </w:pPr>
      <w:r w:rsidRPr="00B441A3">
        <w:t>SBA-15</w:t>
      </w:r>
      <w:r>
        <w:t xml:space="preserve"> = a microporous activate carbon</w:t>
      </w:r>
    </w:p>
    <w:p w14:paraId="7C9FF345" w14:textId="77777777" w:rsidR="00A906F7" w:rsidRDefault="00A906F7" w:rsidP="00A906F7">
      <w:pPr>
        <w:pStyle w:val="NoSpacing"/>
      </w:pPr>
      <w:r>
        <w:t>STD = Standard Temperature and Pressure</w:t>
      </w:r>
    </w:p>
    <w:p w14:paraId="1F44A4F1" w14:textId="77777777" w:rsidR="00A906F7" w:rsidRDefault="00A906F7" w:rsidP="00A906F7">
      <w:pPr>
        <w:pStyle w:val="NoSpacing"/>
      </w:pPr>
      <w:r>
        <w:t xml:space="preserve">UHV = Ultrahigh Vacuum </w:t>
      </w:r>
      <w:r>
        <w:rPr>
          <w:rStyle w:val="hscoswrapper"/>
        </w:rPr>
        <w:t>between 10</w:t>
      </w:r>
      <w:r w:rsidRPr="00CB0727">
        <w:rPr>
          <w:rStyle w:val="hscoswrapper"/>
          <w:vertAlign w:val="superscript"/>
        </w:rPr>
        <w:t>-7</w:t>
      </w:r>
      <w:r>
        <w:rPr>
          <w:rStyle w:val="hscoswrapper"/>
        </w:rPr>
        <w:t xml:space="preserve"> and 10</w:t>
      </w:r>
      <w:r w:rsidRPr="00CB0727">
        <w:rPr>
          <w:rStyle w:val="hscoswrapper"/>
          <w:vertAlign w:val="superscript"/>
        </w:rPr>
        <w:t>-12</w:t>
      </w:r>
      <w:r>
        <w:rPr>
          <w:rStyle w:val="hscoswrapper"/>
        </w:rPr>
        <w:t xml:space="preserve"> mbar</w:t>
      </w:r>
    </w:p>
    <w:p w14:paraId="2778633B" w14:textId="77777777" w:rsidR="00A906F7" w:rsidRDefault="00A906F7" w:rsidP="00A906F7">
      <w:pPr>
        <w:pStyle w:val="NoSpacing"/>
      </w:pPr>
      <w:r>
        <w:t xml:space="preserve">WKB = </w:t>
      </w:r>
      <w:r w:rsidRPr="000B6476">
        <w:t>Wentzel–Kramers–Brillouin (Jeffreys)</w:t>
      </w:r>
      <w:r>
        <w:t xml:space="preserve"> QM Approximation</w:t>
      </w:r>
    </w:p>
    <w:p w14:paraId="50839251" w14:textId="77777777" w:rsidR="00A906F7" w:rsidRDefault="00A906F7" w:rsidP="00A906F7">
      <w:pPr>
        <w:pStyle w:val="NoSpacing"/>
      </w:pPr>
      <w:r>
        <w:t xml:space="preserve">XXDFT = DFT modified by letters standing for various modifications, </w:t>
      </w:r>
      <w:proofErr w:type="gramStart"/>
      <w:r>
        <w:t>For</w:t>
      </w:r>
      <w:proofErr w:type="gramEnd"/>
      <w:r>
        <w:t xml:space="preserve"> example, if XX is </w:t>
      </w:r>
      <w:r>
        <w:tab/>
      </w:r>
      <w:r>
        <w:tab/>
        <w:t xml:space="preserve">NL = non-local, or </w:t>
      </w:r>
    </w:p>
    <w:p w14:paraId="62911CFE" w14:textId="77777777" w:rsidR="00A906F7" w:rsidRDefault="00A906F7" w:rsidP="00A906F7">
      <w:pPr>
        <w:pStyle w:val="NoSpacing"/>
      </w:pPr>
      <w:r>
        <w:tab/>
        <w:t>QS = quenched solid</w:t>
      </w:r>
    </w:p>
    <w:p w14:paraId="3F94B69D" w14:textId="77777777" w:rsidR="00ED2E15" w:rsidRDefault="00ED2E15" w:rsidP="00543A53">
      <w:pPr>
        <w:pStyle w:val="NoSpacing"/>
        <w:rPr>
          <w:rFonts w:cs="Times New Roman"/>
          <w:b/>
          <w:bCs/>
        </w:rPr>
      </w:pPr>
    </w:p>
    <w:p w14:paraId="5EC9E6E5" w14:textId="32385B8F" w:rsidR="006620D9" w:rsidRPr="00E42DD5" w:rsidRDefault="00051D31" w:rsidP="0008609E">
      <w:pPr>
        <w:pStyle w:val="NoSpacing"/>
        <w:outlineLvl w:val="0"/>
        <w:rPr>
          <w:rFonts w:cs="Times New Roman"/>
          <w:b/>
          <w:bCs/>
        </w:rPr>
      </w:pPr>
      <w:bookmarkStart w:id="80" w:name="_Toc171582163"/>
      <w:r w:rsidRPr="00E42DD5">
        <w:rPr>
          <w:rFonts w:cs="Times New Roman"/>
          <w:b/>
          <w:bCs/>
        </w:rPr>
        <w:t>Appendix</w:t>
      </w:r>
      <w:r w:rsidR="00A906F7">
        <w:rPr>
          <w:rFonts w:cs="Times New Roman"/>
          <w:b/>
          <w:bCs/>
        </w:rPr>
        <w:t xml:space="preserve"> II -</w:t>
      </w:r>
      <w:r w:rsidRPr="00E42DD5">
        <w:rPr>
          <w:rFonts w:cs="Times New Roman"/>
          <w:b/>
          <w:bCs/>
        </w:rPr>
        <w:t xml:space="preserve"> the “Sing” and “Rouquerol” criteria:</w:t>
      </w:r>
      <w:bookmarkEnd w:id="80"/>
    </w:p>
    <w:p w14:paraId="02ABBA75" w14:textId="77777777" w:rsidR="003F38C7" w:rsidRDefault="003F38C7" w:rsidP="00543A53">
      <w:pPr>
        <w:pStyle w:val="NoSpacing"/>
        <w:rPr>
          <w:rFonts w:cs="Times New Roman"/>
        </w:rPr>
      </w:pPr>
      <w:r>
        <w:rPr>
          <w:rFonts w:cs="Times New Roman"/>
        </w:rPr>
        <w:t xml:space="preserve">Both the Sing and Rouquerol criteria assume the </w:t>
      </w:r>
      <w:r w:rsidR="00051D31">
        <w:rPr>
          <w:rFonts w:cs="Times New Roman"/>
        </w:rPr>
        <w:t xml:space="preserve">BET </w:t>
      </w:r>
      <w:r>
        <w:rPr>
          <w:rFonts w:cs="Times New Roman"/>
        </w:rPr>
        <w:t xml:space="preserve">transform </w:t>
      </w:r>
      <w:r w:rsidR="00051D31">
        <w:rPr>
          <w:rFonts w:cs="Times New Roman"/>
        </w:rPr>
        <w:t>p</w:t>
      </w:r>
      <w:r>
        <w:rPr>
          <w:rFonts w:cs="Times New Roman"/>
        </w:rPr>
        <w:t>lot for application.</w:t>
      </w:r>
    </w:p>
    <w:tbl>
      <w:tblPr>
        <w:tblStyle w:val="TableGrid"/>
        <w:tblW w:w="0" w:type="auto"/>
        <w:tblLook w:val="04A0" w:firstRow="1" w:lastRow="0" w:firstColumn="1" w:lastColumn="0" w:noHBand="0" w:noVBand="1"/>
      </w:tblPr>
      <w:tblGrid>
        <w:gridCol w:w="9350"/>
      </w:tblGrid>
      <w:tr w:rsidR="005D5272" w:rsidRPr="005D5272" w14:paraId="1A759815" w14:textId="77777777" w:rsidTr="005D5272">
        <w:tc>
          <w:tcPr>
            <w:tcW w:w="9350" w:type="dxa"/>
          </w:tcPr>
          <w:p w14:paraId="111CD720" w14:textId="77777777" w:rsidR="005D5272" w:rsidRPr="005D5272" w:rsidRDefault="005D5272" w:rsidP="00543A53">
            <w:pPr>
              <w:pStyle w:val="NoSpacing"/>
              <w:rPr>
                <w:rFonts w:cs="Times New Roman"/>
                <w:b/>
                <w:bCs/>
              </w:rPr>
            </w:pPr>
            <w:r w:rsidRPr="005D5272">
              <w:rPr>
                <w:rFonts w:cs="Times New Roman"/>
                <w:b/>
                <w:bCs/>
              </w:rPr>
              <w:t xml:space="preserve">The </w:t>
            </w:r>
            <w:r>
              <w:rPr>
                <w:rFonts w:cs="Times New Roman"/>
                <w:b/>
                <w:bCs/>
              </w:rPr>
              <w:t>“</w:t>
            </w:r>
            <w:r w:rsidRPr="005D5272">
              <w:rPr>
                <w:rFonts w:cs="Times New Roman"/>
                <w:b/>
                <w:bCs/>
              </w:rPr>
              <w:t>Sing</w:t>
            </w:r>
            <w:r>
              <w:rPr>
                <w:rFonts w:cs="Times New Roman"/>
                <w:b/>
                <w:bCs/>
              </w:rPr>
              <w:t>”</w:t>
            </w:r>
            <w:r w:rsidRPr="005D5272">
              <w:rPr>
                <w:rFonts w:cs="Times New Roman"/>
                <w:b/>
                <w:bCs/>
              </w:rPr>
              <w:t xml:space="preserve"> criteria:</w:t>
            </w:r>
          </w:p>
        </w:tc>
      </w:tr>
      <w:tr w:rsidR="005D5272" w:rsidRPr="005D5272" w14:paraId="4C5B0A89" w14:textId="77777777" w:rsidTr="005D5272">
        <w:tc>
          <w:tcPr>
            <w:tcW w:w="9350" w:type="dxa"/>
          </w:tcPr>
          <w:p w14:paraId="2C58239D" w14:textId="77777777" w:rsidR="005D5272" w:rsidRPr="005D5272" w:rsidRDefault="005D5272" w:rsidP="00543A53">
            <w:pPr>
              <w:pStyle w:val="NoSpacing"/>
              <w:rPr>
                <w:rFonts w:cs="Times New Roman"/>
              </w:rPr>
            </w:pPr>
            <w:r w:rsidRPr="005D5272">
              <w:rPr>
                <w:rFonts w:cs="Times New Roman"/>
              </w:rPr>
              <w:t>The BET can be used for Type II and Type IV (IUPAC/SIO designation)</w:t>
            </w:r>
          </w:p>
        </w:tc>
      </w:tr>
      <w:tr w:rsidR="005D5272" w:rsidRPr="005D5272" w14:paraId="0D250B37" w14:textId="77777777" w:rsidTr="005D5272">
        <w:tc>
          <w:tcPr>
            <w:tcW w:w="9350" w:type="dxa"/>
          </w:tcPr>
          <w:p w14:paraId="5BB01511" w14:textId="77777777" w:rsidR="005D5272" w:rsidRPr="005D5272" w:rsidRDefault="005D5272" w:rsidP="00543A53">
            <w:pPr>
              <w:pStyle w:val="NoSpacing"/>
              <w:rPr>
                <w:rFonts w:cs="Times New Roman"/>
              </w:rPr>
            </w:pPr>
            <w:r w:rsidRPr="005D5272">
              <w:rPr>
                <w:rFonts w:cs="Times New Roman"/>
              </w:rPr>
              <w:t>The following condition must be met, otherwise the range must be adjusted to do so:</w:t>
            </w:r>
          </w:p>
        </w:tc>
      </w:tr>
      <w:tr w:rsidR="005D5272" w:rsidRPr="005D5272" w14:paraId="6D782CE4" w14:textId="77777777" w:rsidTr="005D5272">
        <w:tc>
          <w:tcPr>
            <w:tcW w:w="9350" w:type="dxa"/>
          </w:tcPr>
          <w:p w14:paraId="612BEEE2" w14:textId="77777777" w:rsidR="005D5272" w:rsidRPr="005D5272" w:rsidRDefault="005D5272" w:rsidP="00543A53">
            <w:pPr>
              <w:pStyle w:val="NoSpacing"/>
              <w:rPr>
                <w:rFonts w:cs="Times New Roman"/>
              </w:rPr>
            </w:pPr>
            <w:r w:rsidRPr="005D5272">
              <w:rPr>
                <w:rFonts w:cs="Times New Roman"/>
              </w:rPr>
              <w:t>The “</w:t>
            </w:r>
            <w:r w:rsidRPr="005D5272">
              <w:rPr>
                <w:rFonts w:cs="Times New Roman"/>
                <w:i/>
                <w:iCs/>
              </w:rPr>
              <w:t>C</w:t>
            </w:r>
            <w:r w:rsidRPr="005D5272">
              <w:rPr>
                <w:rFonts w:cs="Times New Roman"/>
              </w:rPr>
              <w:t>” constant must be between 50 and 150</w:t>
            </w:r>
          </w:p>
        </w:tc>
      </w:tr>
      <w:tr w:rsidR="005D5272" w:rsidRPr="005D5272" w14:paraId="7710C1A0" w14:textId="77777777" w:rsidTr="005D5272">
        <w:tc>
          <w:tcPr>
            <w:tcW w:w="9350" w:type="dxa"/>
          </w:tcPr>
          <w:p w14:paraId="365F0A09" w14:textId="77777777" w:rsidR="005D5272" w:rsidRPr="005D5272" w:rsidRDefault="005D5272" w:rsidP="00543A53">
            <w:pPr>
              <w:pStyle w:val="NoSpacing"/>
              <w:rPr>
                <w:rFonts w:cs="Times New Roman"/>
              </w:rPr>
            </w:pPr>
            <w:r w:rsidRPr="005D5272">
              <w:rPr>
                <w:rFonts w:cs="Times New Roman"/>
              </w:rPr>
              <w:t xml:space="preserve">The upper limit remains </w:t>
            </w:r>
            <w:r w:rsidRPr="005D5272">
              <w:rPr>
                <w:rFonts w:cs="Times New Roman"/>
                <w:i/>
                <w:iCs/>
              </w:rPr>
              <w:t>X</w:t>
            </w:r>
            <w:r w:rsidRPr="005D5272">
              <w:rPr>
                <w:rFonts w:cs="Times New Roman"/>
              </w:rPr>
              <w:t xml:space="preserve"> = 0.35 and the lower limit 0.01</w:t>
            </w:r>
          </w:p>
        </w:tc>
      </w:tr>
    </w:tbl>
    <w:p w14:paraId="58E10678" w14:textId="77777777" w:rsidR="005D5272" w:rsidRDefault="005D5272" w:rsidP="00543A53">
      <w:pPr>
        <w:pStyle w:val="NoSpacing"/>
        <w:rPr>
          <w:rFonts w:cs="Times New Roman"/>
          <w:b/>
          <w:bCs/>
        </w:rPr>
      </w:pPr>
    </w:p>
    <w:tbl>
      <w:tblPr>
        <w:tblStyle w:val="TableGrid"/>
        <w:tblW w:w="0" w:type="auto"/>
        <w:tblLook w:val="04A0" w:firstRow="1" w:lastRow="0" w:firstColumn="1" w:lastColumn="0" w:noHBand="0" w:noVBand="1"/>
      </w:tblPr>
      <w:tblGrid>
        <w:gridCol w:w="9350"/>
      </w:tblGrid>
      <w:tr w:rsidR="005D5272" w:rsidRPr="005D5272" w14:paraId="6C97902B" w14:textId="77777777" w:rsidTr="005D5272">
        <w:tc>
          <w:tcPr>
            <w:tcW w:w="9350" w:type="dxa"/>
          </w:tcPr>
          <w:p w14:paraId="4BC2006F" w14:textId="77777777" w:rsidR="005D5272" w:rsidRPr="005D5272" w:rsidRDefault="005D5272" w:rsidP="00543A53">
            <w:pPr>
              <w:pStyle w:val="NoSpacing"/>
              <w:rPr>
                <w:rFonts w:cs="Times New Roman"/>
                <w:b/>
                <w:bCs/>
              </w:rPr>
            </w:pPr>
            <w:r w:rsidRPr="005D5272">
              <w:rPr>
                <w:rFonts w:cs="Times New Roman"/>
                <w:b/>
                <w:bCs/>
              </w:rPr>
              <w:t>“Rouquerol” criteria</w:t>
            </w:r>
          </w:p>
        </w:tc>
      </w:tr>
      <w:tr w:rsidR="005D5272" w:rsidRPr="005D5272" w14:paraId="68367CBB" w14:textId="77777777" w:rsidTr="005D5272">
        <w:tc>
          <w:tcPr>
            <w:tcW w:w="9350" w:type="dxa"/>
          </w:tcPr>
          <w:p w14:paraId="0D82A667" w14:textId="77777777" w:rsidR="005D5272" w:rsidRPr="005D5272" w:rsidRDefault="005D5272" w:rsidP="00543A53">
            <w:pPr>
              <w:pStyle w:val="NoSpacing"/>
              <w:rPr>
                <w:rFonts w:cs="Times New Roman"/>
                <w:i/>
                <w:iCs/>
              </w:rPr>
            </w:pPr>
            <w:r w:rsidRPr="005D5272">
              <w:rPr>
                <w:rFonts w:eastAsia="Times New Roman" w:cs="Times New Roman"/>
                <w:kern w:val="0"/>
                <w:lang w:eastAsia="en-US" w:bidi="ar-SA"/>
              </w:rPr>
              <w:t xml:space="preserve">The Rouquerol transform </w:t>
            </w:r>
            <w:r w:rsidRPr="005D5272">
              <w:rPr>
                <w:rFonts w:eastAsia="Times New Roman" w:cs="Times New Roman"/>
                <w:i/>
                <w:iCs/>
                <w:kern w:val="0"/>
                <w:lang w:eastAsia="en-US" w:bidi="ar-SA"/>
              </w:rPr>
              <w:t>n</w:t>
            </w:r>
            <w:r w:rsidRPr="005D5272">
              <w:rPr>
                <w:rFonts w:eastAsia="Times New Roman" w:cs="Times New Roman"/>
                <w:kern w:val="0"/>
                <w:vertAlign w:val="subscript"/>
                <w:lang w:eastAsia="en-US" w:bidi="ar-SA"/>
              </w:rPr>
              <w:t>ads</w:t>
            </w:r>
            <w:r w:rsidRPr="005D5272">
              <w:rPr>
                <w:rFonts w:eastAsia="Times New Roman" w:cs="Times New Roman"/>
                <w:kern w:val="0"/>
                <w:lang w:eastAsia="en-US" w:bidi="ar-SA"/>
              </w:rPr>
              <w:t xml:space="preserve"> (1-</w:t>
            </w:r>
            <w:r w:rsidRPr="005D5272">
              <w:rPr>
                <w:rFonts w:eastAsia="Times New Roman" w:cs="Times New Roman"/>
                <w:i/>
                <w:iCs/>
                <w:kern w:val="0"/>
                <w:lang w:eastAsia="en-US" w:bidi="ar-SA"/>
              </w:rPr>
              <w:t>P</w:t>
            </w:r>
            <w:r w:rsidRPr="005D5272">
              <w:rPr>
                <w:rFonts w:eastAsia="Times New Roman" w:cs="Times New Roman"/>
                <w:kern w:val="0"/>
                <w:lang w:eastAsia="en-US" w:bidi="ar-SA"/>
              </w:rPr>
              <w:t>/</w:t>
            </w:r>
            <w:r w:rsidRPr="005D5272">
              <w:rPr>
                <w:rFonts w:eastAsia="Times New Roman" w:cs="Times New Roman"/>
                <w:i/>
                <w:iCs/>
                <w:kern w:val="0"/>
                <w:lang w:eastAsia="en-US" w:bidi="ar-SA"/>
              </w:rPr>
              <w:t>P</w:t>
            </w:r>
            <w:r w:rsidRPr="005D5272">
              <w:rPr>
                <w:rFonts w:eastAsia="Times New Roman" w:cs="Times New Roman"/>
                <w:kern w:val="0"/>
                <w:vertAlign w:val="subscript"/>
                <w:lang w:eastAsia="en-US" w:bidi="ar-SA"/>
              </w:rPr>
              <w:t>vap</w:t>
            </w:r>
            <w:r w:rsidRPr="005D5272">
              <w:rPr>
                <w:rFonts w:eastAsia="Times New Roman" w:cs="Times New Roman"/>
                <w:kern w:val="0"/>
                <w:lang w:eastAsia="en-US" w:bidi="ar-SA"/>
              </w:rPr>
              <w:t xml:space="preserve">) must increase with </w:t>
            </w:r>
            <w:r w:rsidRPr="005D5272">
              <w:rPr>
                <w:rFonts w:eastAsia="Times New Roman" w:cs="Times New Roman"/>
                <w:i/>
                <w:iCs/>
                <w:kern w:val="0"/>
                <w:lang w:eastAsia="en-US" w:bidi="ar-SA"/>
              </w:rPr>
              <w:t>P</w:t>
            </w:r>
            <w:r w:rsidRPr="005D5272">
              <w:rPr>
                <w:rFonts w:eastAsia="Times New Roman" w:cs="Times New Roman"/>
                <w:kern w:val="0"/>
                <w:lang w:eastAsia="en-US" w:bidi="ar-SA"/>
              </w:rPr>
              <w:t>/</w:t>
            </w:r>
            <w:r w:rsidRPr="005D5272">
              <w:rPr>
                <w:rFonts w:eastAsia="Times New Roman" w:cs="Times New Roman"/>
                <w:i/>
                <w:iCs/>
                <w:kern w:val="0"/>
                <w:lang w:eastAsia="en-US" w:bidi="ar-SA"/>
              </w:rPr>
              <w:t>P</w:t>
            </w:r>
            <w:r w:rsidRPr="005D5272">
              <w:rPr>
                <w:rFonts w:eastAsia="Times New Roman" w:cs="Times New Roman"/>
                <w:kern w:val="0"/>
                <w:vertAlign w:val="subscript"/>
                <w:lang w:eastAsia="en-US" w:bidi="ar-SA"/>
              </w:rPr>
              <w:t>vap</w:t>
            </w:r>
            <w:r w:rsidRPr="005D5272">
              <w:rPr>
                <w:rFonts w:eastAsia="Times New Roman" w:cs="Times New Roman"/>
                <w:kern w:val="0"/>
                <w:lang w:eastAsia="en-US" w:bidi="ar-SA"/>
              </w:rPr>
              <w:t xml:space="preserve"> for the data selected to calculate the BET parameters. </w:t>
            </w:r>
          </w:p>
        </w:tc>
      </w:tr>
      <w:tr w:rsidR="005D5272" w:rsidRPr="005D5272" w14:paraId="1D3C9C67" w14:textId="77777777" w:rsidTr="005D5272">
        <w:tc>
          <w:tcPr>
            <w:tcW w:w="9350" w:type="dxa"/>
          </w:tcPr>
          <w:p w14:paraId="0D5BFE6F" w14:textId="1DCEDBC5" w:rsidR="005D5272" w:rsidRPr="005D5272" w:rsidRDefault="005D5272" w:rsidP="00543A53">
            <w:pPr>
              <w:pStyle w:val="NoSpacing"/>
              <w:rPr>
                <w:rFonts w:eastAsia="Times New Roman" w:cs="Times New Roman"/>
                <w:kern w:val="0"/>
                <w:lang w:eastAsia="en-US" w:bidi="ar-SA"/>
              </w:rPr>
            </w:pPr>
            <w:r w:rsidRPr="005D5272">
              <w:rPr>
                <w:rFonts w:eastAsia="Times New Roman" w:cs="Times New Roman"/>
                <w:kern w:val="0"/>
                <w:lang w:eastAsia="en-US" w:bidi="ar-SA"/>
              </w:rPr>
              <w:t xml:space="preserve">The monolayer capacity - </w:t>
            </w:r>
            <w:r w:rsidRPr="005D5272">
              <w:rPr>
                <w:rFonts w:eastAsia="Times New Roman" w:cs="Times New Roman"/>
                <w:i/>
                <w:iCs/>
                <w:kern w:val="0"/>
                <w:lang w:eastAsia="en-US" w:bidi="ar-SA"/>
              </w:rPr>
              <w:t>n</w:t>
            </w:r>
            <w:r w:rsidRPr="005D5272">
              <w:rPr>
                <w:rFonts w:eastAsia="Times New Roman" w:cs="Times New Roman"/>
                <w:kern w:val="0"/>
                <w:vertAlign w:val="subscript"/>
                <w:lang w:eastAsia="en-US" w:bidi="ar-SA"/>
              </w:rPr>
              <w:t>m</w:t>
            </w:r>
            <w:r w:rsidRPr="005D5272">
              <w:rPr>
                <w:rFonts w:eastAsia="Times New Roman" w:cs="Times New Roman"/>
                <w:kern w:val="0"/>
                <w:lang w:eastAsia="en-US" w:bidi="ar-SA"/>
              </w:rPr>
              <w:t xml:space="preserve"> </w:t>
            </w:r>
            <w:r w:rsidR="00100426">
              <w:rPr>
                <w:rFonts w:eastAsia="Times New Roman" w:cs="Times New Roman"/>
                <w:kern w:val="0"/>
                <w:lang w:eastAsia="en-US" w:bidi="ar-SA"/>
              </w:rPr>
              <w:t xml:space="preserve">(obviously according to the BET) </w:t>
            </w:r>
            <w:r w:rsidRPr="005D5272">
              <w:rPr>
                <w:rFonts w:eastAsia="Times New Roman" w:cs="Times New Roman"/>
                <w:kern w:val="0"/>
                <w:lang w:eastAsia="en-US" w:bidi="ar-SA"/>
              </w:rPr>
              <w:t>should be within the limits of data that were used to fit the BET parameters.</w:t>
            </w:r>
          </w:p>
        </w:tc>
      </w:tr>
      <w:tr w:rsidR="004A08C0" w:rsidRPr="005D5272" w14:paraId="3D77D976" w14:textId="77777777" w:rsidTr="005D5272">
        <w:tc>
          <w:tcPr>
            <w:tcW w:w="9350" w:type="dxa"/>
          </w:tcPr>
          <w:p w14:paraId="368C3FC9" w14:textId="4B6F7412" w:rsidR="004A08C0" w:rsidRPr="005D5272" w:rsidRDefault="004A08C0" w:rsidP="00543A53">
            <w:pPr>
              <w:pStyle w:val="NoSpacing"/>
              <w:rPr>
                <w:rFonts w:eastAsia="Times New Roman" w:cs="Times New Roman"/>
                <w:kern w:val="0"/>
                <w:lang w:eastAsia="en-US" w:bidi="ar-SA"/>
              </w:rPr>
            </w:pPr>
            <w:r>
              <w:rPr>
                <w:rFonts w:eastAsia="Times New Roman" w:cs="Times New Roman"/>
                <w:kern w:val="0"/>
                <w:lang w:eastAsia="en-US" w:bidi="ar-SA"/>
              </w:rPr>
              <w:t>There must be 10 points in the Rouquerol range that are used to make the calculation</w:t>
            </w:r>
          </w:p>
        </w:tc>
      </w:tr>
      <w:tr w:rsidR="004A08C0" w:rsidRPr="005D5272" w14:paraId="777EE06B" w14:textId="77777777" w:rsidTr="005D5272">
        <w:tc>
          <w:tcPr>
            <w:tcW w:w="9350" w:type="dxa"/>
          </w:tcPr>
          <w:p w14:paraId="431E2BB0" w14:textId="3B8CD63B" w:rsidR="004A08C0" w:rsidRPr="004A08C0" w:rsidRDefault="004A08C0" w:rsidP="00543A53">
            <w:pPr>
              <w:pStyle w:val="NoSpacing"/>
              <w:rPr>
                <w:rFonts w:eastAsia="Times New Roman" w:cs="Times New Roman"/>
                <w:kern w:val="0"/>
                <w:lang w:eastAsia="en-US" w:bidi="ar-SA"/>
              </w:rPr>
            </w:pPr>
            <w:r>
              <w:rPr>
                <w:rFonts w:eastAsia="Times New Roman" w:cs="Times New Roman"/>
                <w:kern w:val="0"/>
                <w:lang w:eastAsia="en-US" w:bidi="ar-SA"/>
              </w:rPr>
              <w:t xml:space="preserve">The lower limit is </w:t>
            </w:r>
            <w:r>
              <w:rPr>
                <w:rFonts w:eastAsia="Times New Roman" w:cs="Times New Roman"/>
                <w:i/>
                <w:iCs/>
                <w:kern w:val="0"/>
                <w:lang w:eastAsia="en-US" w:bidi="ar-SA"/>
              </w:rPr>
              <w:t>X</w:t>
            </w:r>
            <w:r>
              <w:rPr>
                <w:rFonts w:eastAsia="Times New Roman" w:cs="Times New Roman"/>
                <w:kern w:val="0"/>
                <w:lang w:eastAsia="en-US" w:bidi="ar-SA"/>
              </w:rPr>
              <w:t xml:space="preserve"> = 0.01 (not stated but obviously needed.)</w:t>
            </w:r>
          </w:p>
        </w:tc>
      </w:tr>
      <w:tr w:rsidR="004A08C0" w:rsidRPr="005D5272" w14:paraId="3F97B570" w14:textId="77777777" w:rsidTr="005D5272">
        <w:tc>
          <w:tcPr>
            <w:tcW w:w="9350" w:type="dxa"/>
          </w:tcPr>
          <w:p w14:paraId="1F273E8F" w14:textId="5344D402" w:rsidR="004A08C0" w:rsidRDefault="004A08C0" w:rsidP="00543A53">
            <w:pPr>
              <w:pStyle w:val="NoSpacing"/>
              <w:rPr>
                <w:rFonts w:eastAsia="Times New Roman" w:cs="Times New Roman"/>
                <w:kern w:val="0"/>
                <w:lang w:eastAsia="en-US" w:bidi="ar-SA"/>
              </w:rPr>
            </w:pPr>
            <w:r w:rsidRPr="005D5272">
              <w:rPr>
                <w:rFonts w:eastAsia="Times New Roman" w:cs="Times New Roman"/>
                <w:kern w:val="0"/>
                <w:lang w:eastAsia="en-US" w:bidi="ar-SA"/>
              </w:rPr>
              <w:t>The value of 1</w:t>
            </w:r>
            <w:proofErr w:type="gramStart"/>
            <w:r w:rsidRPr="005D5272">
              <w:rPr>
                <w:rFonts w:eastAsia="Times New Roman" w:cs="Times New Roman"/>
                <w:kern w:val="0"/>
                <w:lang w:eastAsia="en-US" w:bidi="ar-SA"/>
              </w:rPr>
              <w:t>/(</w:t>
            </w:r>
            <w:proofErr w:type="gramEnd"/>
            <w:r w:rsidRPr="005D5272">
              <w:rPr>
                <w:rFonts w:eastAsia="Times New Roman" w:cs="Times New Roman"/>
                <w:kern w:val="0"/>
                <w:lang w:eastAsia="en-US" w:bidi="ar-SA"/>
              </w:rPr>
              <w:t>√</w:t>
            </w:r>
            <w:r w:rsidRPr="005D5272">
              <w:rPr>
                <w:rFonts w:eastAsia="Times New Roman" w:cs="Times New Roman"/>
                <w:i/>
                <w:iCs/>
                <w:kern w:val="0"/>
                <w:lang w:eastAsia="en-US" w:bidi="ar-SA"/>
              </w:rPr>
              <w:t xml:space="preserve">C </w:t>
            </w:r>
            <w:r w:rsidRPr="005D5272">
              <w:rPr>
                <w:rFonts w:eastAsia="Times New Roman" w:cs="Times New Roman"/>
                <w:kern w:val="0"/>
                <w:lang w:eastAsia="en-US" w:bidi="ar-SA"/>
              </w:rPr>
              <w:t xml:space="preserve">+ 1) ≈ </w:t>
            </w:r>
            <w:r w:rsidRPr="005D5272">
              <w:rPr>
                <w:rFonts w:eastAsia="Times New Roman" w:cs="Times New Roman"/>
                <w:i/>
                <w:iCs/>
                <w:kern w:val="0"/>
                <w:lang w:eastAsia="en-US" w:bidi="ar-SA"/>
              </w:rPr>
              <w:t>P</w:t>
            </w:r>
            <w:r w:rsidRPr="005D5272">
              <w:rPr>
                <w:rFonts w:eastAsia="Times New Roman" w:cs="Times New Roman"/>
                <w:kern w:val="0"/>
                <w:lang w:eastAsia="en-US" w:bidi="ar-SA"/>
              </w:rPr>
              <w:t>/</w:t>
            </w:r>
            <w:r w:rsidRPr="005D5272">
              <w:rPr>
                <w:rFonts w:eastAsia="Times New Roman" w:cs="Times New Roman"/>
                <w:i/>
                <w:iCs/>
                <w:kern w:val="0"/>
                <w:lang w:eastAsia="en-US" w:bidi="ar-SA"/>
              </w:rPr>
              <w:t>P</w:t>
            </w:r>
            <w:r w:rsidRPr="005D5272">
              <w:rPr>
                <w:rFonts w:eastAsia="Times New Roman" w:cs="Times New Roman"/>
                <w:kern w:val="0"/>
                <w:vertAlign w:val="subscript"/>
                <w:lang w:eastAsia="en-US" w:bidi="ar-SA"/>
              </w:rPr>
              <w:t>vap</w:t>
            </w:r>
            <w:r w:rsidRPr="005D5272">
              <w:rPr>
                <w:rFonts w:eastAsia="Times New Roman" w:cs="Times New Roman"/>
                <w:kern w:val="0"/>
                <w:lang w:eastAsia="en-US" w:bidi="ar-SA"/>
              </w:rPr>
              <w:t xml:space="preserve"> at the monolayer capacity.</w:t>
            </w:r>
          </w:p>
        </w:tc>
      </w:tr>
    </w:tbl>
    <w:p w14:paraId="626DF039" w14:textId="77777777" w:rsidR="00D01373" w:rsidRDefault="00D01373" w:rsidP="00543A53">
      <w:pPr>
        <w:pStyle w:val="NoSpacing"/>
        <w:rPr>
          <w:rFonts w:eastAsia="Times New Roman" w:cs="Times New Roman"/>
          <w:kern w:val="0"/>
          <w:lang w:eastAsia="en-US" w:bidi="ar-SA"/>
        </w:rPr>
      </w:pPr>
    </w:p>
    <w:p w14:paraId="55ACEA00" w14:textId="7CD28F92" w:rsidR="00845A2E" w:rsidRDefault="00845A2E" w:rsidP="00543A53">
      <w:pPr>
        <w:pStyle w:val="NoSpacing"/>
        <w:rPr>
          <w:rFonts w:eastAsia="Times New Roman" w:cs="Times New Roman"/>
          <w:kern w:val="0"/>
          <w:lang w:eastAsia="en-US" w:bidi="ar-SA"/>
        </w:rPr>
      </w:pPr>
      <w:r>
        <w:rPr>
          <w:rFonts w:eastAsia="Times New Roman" w:cs="Times New Roman"/>
          <w:kern w:val="0"/>
          <w:lang w:eastAsia="en-US" w:bidi="ar-SA"/>
        </w:rPr>
        <w:t xml:space="preserve">The last requirement is a problem.  The question is where is the monolayer capacity?  </w:t>
      </w:r>
      <w:r w:rsidR="00100426">
        <w:rPr>
          <w:rFonts w:eastAsia="Times New Roman" w:cs="Times New Roman"/>
          <w:kern w:val="0"/>
          <w:lang w:eastAsia="en-US" w:bidi="ar-SA"/>
        </w:rPr>
        <w:t>M</w:t>
      </w:r>
      <w:r>
        <w:rPr>
          <w:rFonts w:eastAsia="Times New Roman" w:cs="Times New Roman"/>
          <w:kern w:val="0"/>
          <w:lang w:eastAsia="en-US" w:bidi="ar-SA"/>
        </w:rPr>
        <w:t xml:space="preserve">any isotherms </w:t>
      </w:r>
      <w:r w:rsidR="00100426">
        <w:rPr>
          <w:rFonts w:eastAsia="Times New Roman" w:cs="Times New Roman"/>
          <w:kern w:val="0"/>
          <w:lang w:eastAsia="en-US" w:bidi="ar-SA"/>
        </w:rPr>
        <w:t>start</w:t>
      </w:r>
      <w:r>
        <w:rPr>
          <w:rFonts w:eastAsia="Times New Roman" w:cs="Times New Roman"/>
          <w:kern w:val="0"/>
          <w:lang w:eastAsia="en-US" w:bidi="ar-SA"/>
        </w:rPr>
        <w:t xml:space="preserve"> at one</w:t>
      </w:r>
      <w:r w:rsidR="00100426">
        <w:rPr>
          <w:rFonts w:eastAsia="Times New Roman" w:cs="Times New Roman"/>
          <w:kern w:val="0"/>
          <w:lang w:eastAsia="en-US" w:bidi="ar-SA"/>
        </w:rPr>
        <w:t xml:space="preserve"> or even more</w:t>
      </w:r>
      <w:r>
        <w:rPr>
          <w:rFonts w:eastAsia="Times New Roman" w:cs="Times New Roman"/>
          <w:kern w:val="0"/>
          <w:lang w:eastAsia="en-US" w:bidi="ar-SA"/>
        </w:rPr>
        <w:t xml:space="preserve"> monolayer</w:t>
      </w:r>
      <w:r w:rsidR="00100426">
        <w:rPr>
          <w:rFonts w:eastAsia="Times New Roman" w:cs="Times New Roman"/>
          <w:kern w:val="0"/>
          <w:lang w:eastAsia="en-US" w:bidi="ar-SA"/>
        </w:rPr>
        <w:t>s</w:t>
      </w:r>
      <w:r>
        <w:rPr>
          <w:rFonts w:eastAsia="Times New Roman" w:cs="Times New Roman"/>
          <w:kern w:val="0"/>
          <w:lang w:eastAsia="en-US" w:bidi="ar-SA"/>
        </w:rPr>
        <w:t xml:space="preserve"> capacity since the vacuums are not good enough to obtain </w:t>
      </w:r>
      <w:r w:rsidR="00100426">
        <w:rPr>
          <w:rFonts w:eastAsia="Times New Roman" w:cs="Times New Roman"/>
          <w:kern w:val="0"/>
          <w:lang w:eastAsia="en-US" w:bidi="ar-SA"/>
        </w:rPr>
        <w:t>lower</w:t>
      </w:r>
      <w:r>
        <w:rPr>
          <w:rFonts w:eastAsia="Times New Roman" w:cs="Times New Roman"/>
          <w:kern w:val="0"/>
          <w:lang w:eastAsia="en-US" w:bidi="ar-SA"/>
        </w:rPr>
        <w:t xml:space="preserve"> level</w:t>
      </w:r>
      <w:r w:rsidR="00100426">
        <w:rPr>
          <w:rFonts w:eastAsia="Times New Roman" w:cs="Times New Roman"/>
          <w:kern w:val="0"/>
          <w:lang w:eastAsia="en-US" w:bidi="ar-SA"/>
        </w:rPr>
        <w:t>s</w:t>
      </w:r>
      <w:r>
        <w:rPr>
          <w:rFonts w:eastAsia="Times New Roman" w:cs="Times New Roman"/>
          <w:kern w:val="0"/>
          <w:lang w:eastAsia="en-US" w:bidi="ar-SA"/>
        </w:rPr>
        <w:t>.  For example, see the data by Goldmann and Polanyi</w:t>
      </w:r>
      <w:r w:rsidR="00B92D25">
        <w:rPr>
          <w:rStyle w:val="EndnoteReference"/>
          <w:rFonts w:eastAsia="Times New Roman" w:cs="Times New Roman"/>
          <w:kern w:val="0"/>
          <w:lang w:eastAsia="en-US" w:bidi="ar-SA"/>
        </w:rPr>
        <w:endnoteReference w:id="42"/>
      </w:r>
      <w:r>
        <w:rPr>
          <w:rFonts w:eastAsia="Times New Roman" w:cs="Times New Roman"/>
          <w:kern w:val="0"/>
          <w:lang w:eastAsia="en-US" w:bidi="ar-SA"/>
        </w:rPr>
        <w:t xml:space="preserve"> where almost all isotherms start near or after this.</w:t>
      </w:r>
      <w:r w:rsidR="00F80D5E">
        <w:rPr>
          <w:rFonts w:eastAsia="Times New Roman" w:cs="Times New Roman"/>
          <w:kern w:val="0"/>
          <w:lang w:eastAsia="en-US" w:bidi="ar-SA"/>
        </w:rPr>
        <w:t xml:space="preserve"> (See reference </w:t>
      </w:r>
      <w:r w:rsidR="00F80D5E">
        <w:rPr>
          <w:rFonts w:eastAsia="Times New Roman" w:cs="Times New Roman"/>
          <w:kern w:val="0"/>
          <w:lang w:eastAsia="en-US" w:bidi="ar-SA"/>
        </w:rPr>
        <w:fldChar w:fldCharType="begin"/>
      </w:r>
      <w:r w:rsidR="00F80D5E">
        <w:rPr>
          <w:rFonts w:eastAsia="Times New Roman" w:cs="Times New Roman"/>
          <w:kern w:val="0"/>
          <w:lang w:eastAsia="en-US" w:bidi="ar-SA"/>
        </w:rPr>
        <w:instrText xml:space="preserve"> NOTEREF _Ref159694837 \h </w:instrText>
      </w:r>
      <w:r w:rsidR="00F80D5E">
        <w:rPr>
          <w:rFonts w:eastAsia="Times New Roman" w:cs="Times New Roman"/>
          <w:kern w:val="0"/>
          <w:lang w:eastAsia="en-US" w:bidi="ar-SA"/>
        </w:rPr>
      </w:r>
      <w:r w:rsidR="00F80D5E">
        <w:rPr>
          <w:rFonts w:eastAsia="Times New Roman" w:cs="Times New Roman"/>
          <w:kern w:val="0"/>
          <w:lang w:eastAsia="en-US" w:bidi="ar-SA"/>
        </w:rPr>
        <w:fldChar w:fldCharType="separate"/>
      </w:r>
      <w:r w:rsidR="00040CA9">
        <w:rPr>
          <w:rFonts w:eastAsia="Times New Roman" w:cs="Times New Roman"/>
          <w:kern w:val="0"/>
          <w:lang w:eastAsia="en-US" w:bidi="ar-SA"/>
        </w:rPr>
        <w:t>4</w:t>
      </w:r>
      <w:r w:rsidR="00F80D5E">
        <w:rPr>
          <w:rFonts w:eastAsia="Times New Roman" w:cs="Times New Roman"/>
          <w:kern w:val="0"/>
          <w:lang w:eastAsia="en-US" w:bidi="ar-SA"/>
        </w:rPr>
        <w:fldChar w:fldCharType="end"/>
      </w:r>
      <w:r w:rsidR="00F80D5E">
        <w:rPr>
          <w:rFonts w:eastAsia="Times New Roman" w:cs="Times New Roman"/>
          <w:kern w:val="0"/>
          <w:lang w:eastAsia="en-US" w:bidi="ar-SA"/>
        </w:rPr>
        <w:t xml:space="preserve"> pages 109 301 - 304.)</w:t>
      </w:r>
    </w:p>
    <w:p w14:paraId="40BAE0B2" w14:textId="77777777" w:rsidR="00845A2E" w:rsidRDefault="00845A2E" w:rsidP="00543A53">
      <w:pPr>
        <w:pStyle w:val="NoSpacing"/>
        <w:rPr>
          <w:rFonts w:eastAsia="Times New Roman" w:cs="Times New Roman"/>
          <w:kern w:val="0"/>
          <w:lang w:eastAsia="en-US" w:bidi="ar-SA"/>
        </w:rPr>
      </w:pPr>
    </w:p>
    <w:p w14:paraId="70A7A7CA" w14:textId="6DB490A9" w:rsidR="003F3B5E" w:rsidRDefault="00D01373" w:rsidP="00543A53">
      <w:pPr>
        <w:pStyle w:val="NoSpacing"/>
        <w:rPr>
          <w:rFonts w:eastAsia="Times New Roman" w:cs="Times New Roman"/>
          <w:kern w:val="0"/>
          <w:lang w:eastAsia="en-US" w:bidi="ar-SA"/>
        </w:rPr>
      </w:pPr>
      <w:r>
        <w:rPr>
          <w:rFonts w:eastAsia="Times New Roman" w:cs="Times New Roman"/>
          <w:kern w:val="0"/>
          <w:lang w:eastAsia="en-US" w:bidi="ar-SA"/>
        </w:rPr>
        <w:lastRenderedPageBreak/>
        <w:t xml:space="preserve">Additional requirement would be the lower limit, rather than </w:t>
      </w:r>
      <w:r>
        <w:rPr>
          <w:rFonts w:eastAsia="Times New Roman" w:cs="Times New Roman"/>
          <w:i/>
          <w:iCs/>
          <w:kern w:val="0"/>
          <w:lang w:eastAsia="en-US" w:bidi="ar-SA"/>
        </w:rPr>
        <w:t>X</w:t>
      </w:r>
      <w:r>
        <w:rPr>
          <w:rFonts w:eastAsia="Times New Roman" w:cs="Times New Roman"/>
          <w:kern w:val="0"/>
          <w:lang w:eastAsia="en-US" w:bidi="ar-SA"/>
        </w:rPr>
        <w:t xml:space="preserve"> = 0.01, that if </w:t>
      </w:r>
      <w:proofErr w:type="gramStart"/>
      <w:r>
        <w:rPr>
          <w:rFonts w:eastAsia="Times New Roman" w:cs="Times New Roman"/>
          <w:kern w:val="0"/>
          <w:lang w:eastAsia="en-US" w:bidi="ar-SA"/>
        </w:rPr>
        <w:t>χ</w:t>
      </w:r>
      <w:r w:rsidRPr="00D01373">
        <w:rPr>
          <w:rFonts w:eastAsia="Times New Roman" w:cs="Times New Roman"/>
          <w:kern w:val="0"/>
          <w:vertAlign w:val="subscript"/>
          <w:lang w:eastAsia="en-US" w:bidi="ar-SA"/>
        </w:rPr>
        <w:t>ς</w:t>
      </w:r>
      <w:r w:rsidR="00CA3DF2">
        <w:rPr>
          <w:rFonts w:eastAsia="Times New Roman" w:cs="Times New Roman"/>
          <w:kern w:val="0"/>
          <w:lang w:eastAsia="en-US" w:bidi="ar-SA"/>
        </w:rPr>
        <w:t xml:space="preserve"> </w:t>
      </w:r>
      <w:r>
        <w:rPr>
          <w:rFonts w:eastAsia="Times New Roman" w:cs="Times New Roman"/>
          <w:kern w:val="0"/>
          <w:lang w:eastAsia="en-US" w:bidi="ar-SA"/>
        </w:rPr>
        <w:t xml:space="preserve"> &gt;</w:t>
      </w:r>
      <w:proofErr w:type="gramEnd"/>
      <w:r>
        <w:rPr>
          <w:rFonts w:eastAsia="Times New Roman" w:cs="Times New Roman"/>
          <w:kern w:val="0"/>
          <w:lang w:eastAsia="en-US" w:bidi="ar-SA"/>
        </w:rPr>
        <w:t xml:space="preserve"> </w:t>
      </w:r>
      <w:r w:rsidR="00CA3DF2">
        <w:rPr>
          <w:rFonts w:eastAsia="Times New Roman" w:cs="Times New Roman"/>
          <w:kern w:val="0"/>
          <w:lang w:eastAsia="en-US" w:bidi="ar-SA"/>
        </w:rPr>
        <w:t xml:space="preserve"> </w:t>
      </w:r>
      <w:r w:rsidRPr="00D01373">
        <w:rPr>
          <w:rFonts w:eastAsia="Times New Roman" w:cs="Times New Roman"/>
          <w:b/>
          <w:bCs/>
          <w:kern w:val="0"/>
          <w:lang w:eastAsia="en-US" w:bidi="ar-SA"/>
        </w:rPr>
        <w:t>χ</w:t>
      </w:r>
      <w:r w:rsidR="00CA3DF2">
        <w:rPr>
          <w:rFonts w:eastAsia="Times New Roman" w:cs="Times New Roman"/>
          <w:kern w:val="0"/>
          <w:lang w:eastAsia="en-US" w:bidi="ar-SA"/>
        </w:rPr>
        <w:t xml:space="preserve"> </w:t>
      </w:r>
      <w:r>
        <w:rPr>
          <w:rFonts w:eastAsia="Times New Roman" w:cs="Times New Roman"/>
          <w:kern w:val="0"/>
          <w:lang w:eastAsia="en-US" w:bidi="ar-SA"/>
        </w:rPr>
        <w:t>(</w:t>
      </w:r>
      <w:r>
        <w:rPr>
          <w:rFonts w:eastAsia="Times New Roman" w:cs="Times New Roman"/>
          <w:i/>
          <w:iCs/>
          <w:kern w:val="0"/>
          <w:lang w:eastAsia="en-US" w:bidi="ar-SA"/>
        </w:rPr>
        <w:t>X</w:t>
      </w:r>
      <w:r>
        <w:rPr>
          <w:rFonts w:eastAsia="Times New Roman" w:cs="Times New Roman"/>
          <w:kern w:val="0"/>
          <w:lang w:eastAsia="en-US" w:bidi="ar-SA"/>
        </w:rPr>
        <w:t xml:space="preserve"> = 0.01), then χ</w:t>
      </w:r>
      <w:r w:rsidRPr="00D01373">
        <w:rPr>
          <w:rFonts w:eastAsia="Times New Roman" w:cs="Times New Roman"/>
          <w:kern w:val="0"/>
          <w:vertAlign w:val="subscript"/>
          <w:lang w:eastAsia="en-US" w:bidi="ar-SA"/>
        </w:rPr>
        <w:t>ς</w:t>
      </w:r>
      <w:r w:rsidRPr="00D01373">
        <w:rPr>
          <w:rFonts w:eastAsia="Times New Roman" w:cs="Times New Roman"/>
          <w:kern w:val="0"/>
          <w:lang w:eastAsia="en-US" w:bidi="ar-SA"/>
        </w:rPr>
        <w:t xml:space="preserve"> be used for the lower limit.</w:t>
      </w:r>
      <w:r w:rsidR="005D5272">
        <w:rPr>
          <w:rFonts w:eastAsia="Times New Roman" w:cs="Times New Roman"/>
          <w:kern w:val="0"/>
          <w:lang w:eastAsia="en-US" w:bidi="ar-SA"/>
        </w:rPr>
        <w:t xml:space="preserve">  This would apply to the lowest energies.</w:t>
      </w:r>
      <w:r w:rsidR="00CE6DC9">
        <w:rPr>
          <w:rFonts w:eastAsia="Times New Roman" w:cs="Times New Roman"/>
          <w:kern w:val="0"/>
          <w:lang w:eastAsia="en-US" w:bidi="ar-SA"/>
        </w:rPr>
        <w:t xml:space="preserve">  However, this requires a χ-plot to determine this, or one of the tables could yield the answer.</w:t>
      </w:r>
      <w:r w:rsidR="00CA3DF2">
        <w:rPr>
          <w:rFonts w:eastAsia="Times New Roman" w:cs="Times New Roman"/>
          <w:kern w:val="0"/>
          <w:lang w:eastAsia="en-US" w:bidi="ar-SA"/>
        </w:rPr>
        <w:t xml:space="preserve"> </w:t>
      </w:r>
    </w:p>
    <w:p w14:paraId="431E9F07" w14:textId="77777777" w:rsidR="003F3B5E" w:rsidRDefault="003F3B5E">
      <w:pPr>
        <w:spacing w:after="160" w:line="259" w:lineRule="auto"/>
        <w:rPr>
          <w:rFonts w:eastAsia="Times New Roman" w:cs="Times New Roman"/>
          <w:kern w:val="0"/>
          <w:szCs w:val="21"/>
          <w:lang w:eastAsia="en-US" w:bidi="ar-SA"/>
        </w:rPr>
      </w:pPr>
      <w:r>
        <w:rPr>
          <w:rFonts w:eastAsia="Times New Roman" w:cs="Times New Roman"/>
          <w:kern w:val="0"/>
          <w:lang w:eastAsia="en-US" w:bidi="ar-SA"/>
        </w:rPr>
        <w:br w:type="page"/>
      </w:r>
    </w:p>
    <w:p w14:paraId="096BB8FC" w14:textId="77777777" w:rsidR="00B5263E" w:rsidRPr="00E952C2" w:rsidRDefault="00B5263E" w:rsidP="00E952C2">
      <w:pPr>
        <w:pStyle w:val="Heading1"/>
        <w:rPr>
          <w:rFonts w:ascii="Times New Roman" w:hAnsi="Times New Roman" w:cs="Times New Roman"/>
          <w:b/>
          <w:bCs/>
          <w:iCs/>
          <w:sz w:val="24"/>
          <w:szCs w:val="24"/>
        </w:rPr>
      </w:pPr>
      <w:bookmarkStart w:id="81" w:name="_Toc171582164"/>
      <w:r w:rsidRPr="00E952C2">
        <w:rPr>
          <w:rFonts w:ascii="Times New Roman" w:hAnsi="Times New Roman" w:cs="Times New Roman"/>
          <w:b/>
          <w:bCs/>
          <w:iCs/>
          <w:color w:val="auto"/>
          <w:sz w:val="24"/>
          <w:szCs w:val="24"/>
        </w:rPr>
        <w:lastRenderedPageBreak/>
        <w:t>Appendix</w:t>
      </w:r>
      <w:r w:rsidRPr="00E952C2">
        <w:rPr>
          <w:rFonts w:ascii="Times New Roman" w:hAnsi="Times New Roman" w:cs="Times New Roman"/>
          <w:b/>
          <w:bCs/>
          <w:color w:val="auto"/>
          <w:sz w:val="24"/>
          <w:szCs w:val="24"/>
        </w:rPr>
        <w:t xml:space="preserve"> III</w:t>
      </w:r>
      <w:r w:rsidRPr="00E952C2">
        <w:rPr>
          <w:rFonts w:ascii="Times New Roman" w:hAnsi="Times New Roman" w:cs="Times New Roman"/>
          <w:b/>
          <w:bCs/>
          <w:iCs/>
          <w:color w:val="auto"/>
          <w:sz w:val="24"/>
          <w:szCs w:val="24"/>
        </w:rPr>
        <w:t xml:space="preserve"> - What did Arthur Adamson write?</w:t>
      </w:r>
      <w:bookmarkEnd w:id="81"/>
    </w:p>
    <w:p w14:paraId="6385B658" w14:textId="77777777" w:rsidR="00B5263E" w:rsidRDefault="00B5263E" w:rsidP="00B5263E">
      <w:pPr>
        <w:rPr>
          <w:b/>
          <w:bCs/>
          <w:i/>
          <w:iCs/>
        </w:rPr>
      </w:pPr>
    </w:p>
    <w:p w14:paraId="04A449A2" w14:textId="0368E987" w:rsidR="00B5263E" w:rsidRDefault="000B6031" w:rsidP="00B5263E">
      <w:pPr>
        <w:pStyle w:val="NoSpacing"/>
      </w:pPr>
      <w:r>
        <w:t xml:space="preserve">I believe it is </w:t>
      </w:r>
      <w:proofErr w:type="gramStart"/>
      <w:r>
        <w:t>worth-while</w:t>
      </w:r>
      <w:proofErr w:type="gramEnd"/>
      <w:r>
        <w:t xml:space="preserve"> to look at the progression of physical adsorption through the eyes of one of the premier investigators, Professor Arthur Anderson.  </w:t>
      </w:r>
      <w:r w:rsidR="00B5263E">
        <w:t>I was at the American Chemical Society (ACS) meeting when Professor Arthur Anderson made a very strong case against how closed minded the members of the Surface and Colloids Division had become with respect to physical adsorption.  Although the QM hypothesis was in the literature, it was not an acceptable hypothesis to anyone except for two people</w:t>
      </w:r>
      <w:r w:rsidR="00DF7B35">
        <w:t xml:space="preserve">, </w:t>
      </w:r>
      <w:r w:rsidR="00B5263E">
        <w:t>Loren Fuller</w:t>
      </w:r>
      <w:r w:rsidR="00DF7B35">
        <w:t xml:space="preserve"> and James Condon</w:t>
      </w:r>
      <w:r w:rsidR="00B5263E">
        <w:t xml:space="preserve">.  </w:t>
      </w:r>
      <w:r>
        <w:t xml:space="preserve">I doubt that </w:t>
      </w:r>
      <w:r w:rsidR="00B5263E">
        <w:t>Professor Anderson was aware of the development but had plenty of evidence that the empirical equation associated with “polarization theory” was superior to all other formulations.  Looking into his books, it is hard not to come to the following conclusions about “polarization theory,” today QM/ESW.</w:t>
      </w:r>
    </w:p>
    <w:p w14:paraId="348F58F0" w14:textId="77777777" w:rsidR="00B5263E" w:rsidRDefault="00B5263E" w:rsidP="00B5263E">
      <w:pPr>
        <w:pStyle w:val="NoSpacing"/>
      </w:pPr>
    </w:p>
    <w:p w14:paraId="2DA9742A" w14:textId="49E489A4" w:rsidR="00B5263E" w:rsidRDefault="00B5263E" w:rsidP="00B5263E">
      <w:pPr>
        <w:pStyle w:val="NoSpacing"/>
      </w:pPr>
      <w:r w:rsidRPr="00A61C23">
        <w:t xml:space="preserve">Arthur </w:t>
      </w:r>
      <w:r>
        <w:t>Adamson</w:t>
      </w:r>
      <w:r>
        <w:rPr>
          <w:rStyle w:val="EndnoteReference"/>
        </w:rPr>
        <w:endnoteReference w:id="43"/>
      </w:r>
      <w:r>
        <w:t xml:space="preserve"> left open the judgement about the BET versus other descriptions of the adsorption isotherm.  However, </w:t>
      </w:r>
      <w:r w:rsidR="00E50745">
        <w:t>h</w:t>
      </w:r>
      <w:r>
        <w:t>e did make direct comparisons between the following descriptions apparently based on the data fit at the time.  These were:</w:t>
      </w:r>
    </w:p>
    <w:p w14:paraId="58DA3E75" w14:textId="785E7CB9" w:rsidR="00B5263E" w:rsidRDefault="00B5263E" w:rsidP="00B5263E">
      <w:pPr>
        <w:pStyle w:val="NoSpacing"/>
        <w:numPr>
          <w:ilvl w:val="0"/>
          <w:numId w:val="35"/>
        </w:numPr>
        <w:spacing w:before="100"/>
      </w:pPr>
      <w:r>
        <w:t xml:space="preserve">The BET over the relative pressure range of </w:t>
      </w:r>
      <w:r>
        <w:rPr>
          <w:i/>
          <w:iCs/>
        </w:rPr>
        <w:t>X</w:t>
      </w:r>
      <w:r>
        <w:t xml:space="preserve"> = 0.05 to 0.3</w:t>
      </w:r>
      <w:r w:rsidR="00E50745">
        <w:t>0</w:t>
      </w:r>
    </w:p>
    <w:p w14:paraId="479AE81E" w14:textId="77777777" w:rsidR="00B5263E" w:rsidRDefault="00B5263E" w:rsidP="00B5263E">
      <w:pPr>
        <w:pStyle w:val="NoSpacing"/>
        <w:numPr>
          <w:ilvl w:val="0"/>
          <w:numId w:val="35"/>
        </w:numPr>
        <w:spacing w:before="100"/>
      </w:pPr>
      <w:r>
        <w:t xml:space="preserve">The Harkin-Jura over the relative pressure range of </w:t>
      </w:r>
      <w:r>
        <w:rPr>
          <w:i/>
          <w:iCs/>
        </w:rPr>
        <w:t>X</w:t>
      </w:r>
      <w:r>
        <w:t xml:space="preserve"> = 0.2 to 0.5</w:t>
      </w:r>
    </w:p>
    <w:p w14:paraId="1CC7AA08" w14:textId="48FCCFBA" w:rsidR="00B5263E" w:rsidRDefault="00B5263E" w:rsidP="00B5263E">
      <w:pPr>
        <w:pStyle w:val="NoSpacing"/>
        <w:numPr>
          <w:ilvl w:val="0"/>
          <w:numId w:val="35"/>
        </w:numPr>
        <w:spacing w:before="100"/>
      </w:pPr>
      <w:r>
        <w:t xml:space="preserve">The potential theory over the relative pressure range of </w:t>
      </w:r>
      <w:r>
        <w:rPr>
          <w:i/>
          <w:iCs/>
        </w:rPr>
        <w:t>X</w:t>
      </w:r>
      <w:r>
        <w:t xml:space="preserve"> = 0.</w:t>
      </w:r>
      <w:r w:rsidR="00E50745">
        <w:t>003</w:t>
      </w:r>
      <w:r>
        <w:t xml:space="preserve"> to 0.</w:t>
      </w:r>
      <w:r w:rsidR="00E50745">
        <w:t>93</w:t>
      </w:r>
    </w:p>
    <w:p w14:paraId="32D2B44C" w14:textId="3768C290" w:rsidR="00B5263E" w:rsidRDefault="00B5263E" w:rsidP="00B5263E">
      <w:pPr>
        <w:pStyle w:val="NoSpacing"/>
        <w:numPr>
          <w:ilvl w:val="0"/>
          <w:numId w:val="35"/>
        </w:numPr>
        <w:spacing w:before="100"/>
      </w:pPr>
      <w:r>
        <w:t xml:space="preserve">The polarization theory over the relative pressure range of </w:t>
      </w:r>
      <w:r>
        <w:rPr>
          <w:i/>
          <w:iCs/>
        </w:rPr>
        <w:t>X</w:t>
      </w:r>
      <w:r>
        <w:t xml:space="preserve"> = 0.</w:t>
      </w:r>
      <w:r w:rsidR="00E50745">
        <w:t>25</w:t>
      </w:r>
      <w:r>
        <w:t xml:space="preserve"> to 0.</w:t>
      </w:r>
      <w:r w:rsidR="00E50745">
        <w:t>93</w:t>
      </w:r>
    </w:p>
    <w:p w14:paraId="585B94B6" w14:textId="77777777" w:rsidR="00B5263E" w:rsidRDefault="00B5263E" w:rsidP="00B5263E">
      <w:pPr>
        <w:pStyle w:val="NoSpacing"/>
      </w:pPr>
      <w:r>
        <w:t xml:space="preserve">The polarization theory, although the energies and amounts are incorrect, is functionally identical in the final equation to the QM/ESW equation for the multiple layers.  The potential theory is similar, but the </w:t>
      </w:r>
      <w:proofErr w:type="spellStart"/>
      <w:r>
        <w:t>log</w:t>
      </w:r>
      <w:proofErr w:type="spellEnd"/>
      <w:r>
        <w:t xml:space="preserve"> term is raised to a fractional power, in the case here it is to ½ power.</w:t>
      </w:r>
    </w:p>
    <w:p w14:paraId="4C64E06F" w14:textId="77777777" w:rsidR="00B5263E" w:rsidRPr="00A61C23" w:rsidRDefault="00B5263E" w:rsidP="00B5263E">
      <w:pPr>
        <w:pStyle w:val="NoSpacing"/>
      </w:pPr>
      <w:r>
        <w:t>Adamson’s strongest argument is the comparison of each using the same adsorbent but differing gases to check consistency between the adsorbate answer.  The results provided in terms of variation for three adsorbents were as follows:</w:t>
      </w:r>
    </w:p>
    <w:tbl>
      <w:tblPr>
        <w:tblStyle w:val="TableGrid"/>
        <w:tblW w:w="0" w:type="auto"/>
        <w:tblLook w:val="04A0" w:firstRow="1" w:lastRow="0" w:firstColumn="1" w:lastColumn="0" w:noHBand="0" w:noVBand="1"/>
      </w:tblPr>
      <w:tblGrid>
        <w:gridCol w:w="1700"/>
        <w:gridCol w:w="1801"/>
        <w:gridCol w:w="1892"/>
        <w:gridCol w:w="1925"/>
        <w:gridCol w:w="2032"/>
      </w:tblGrid>
      <w:tr w:rsidR="00B5263E" w14:paraId="6B34F860" w14:textId="77777777" w:rsidTr="00E80D26">
        <w:tc>
          <w:tcPr>
            <w:tcW w:w="9576" w:type="dxa"/>
            <w:gridSpan w:val="5"/>
          </w:tcPr>
          <w:p w14:paraId="5502E5C1" w14:textId="77777777" w:rsidR="00B5263E" w:rsidRPr="00AC4DAA" w:rsidRDefault="00B5263E" w:rsidP="00E80D26">
            <w:pPr>
              <w:pStyle w:val="NoSpacing"/>
              <w:rPr>
                <w:i/>
                <w:iCs/>
              </w:rPr>
            </w:pPr>
            <w:r>
              <w:rPr>
                <w:iCs/>
              </w:rPr>
              <w:t>Variations for each contenting theory to decide the most reliable</w:t>
            </w:r>
          </w:p>
        </w:tc>
      </w:tr>
      <w:tr w:rsidR="00B5263E" w14:paraId="12948061" w14:textId="77777777" w:rsidTr="00E80D26">
        <w:tc>
          <w:tcPr>
            <w:tcW w:w="1718" w:type="dxa"/>
          </w:tcPr>
          <w:p w14:paraId="6A295DDA" w14:textId="77777777" w:rsidR="00B5263E" w:rsidRDefault="00B5263E" w:rsidP="00E80D26">
            <w:pPr>
              <w:pStyle w:val="NoSpacing"/>
              <w:rPr>
                <w:i/>
                <w:iCs/>
              </w:rPr>
            </w:pPr>
            <w:r>
              <w:rPr>
                <w:iCs/>
              </w:rPr>
              <w:t>adsorbent</w:t>
            </w:r>
          </w:p>
        </w:tc>
        <w:tc>
          <w:tcPr>
            <w:tcW w:w="1858" w:type="dxa"/>
          </w:tcPr>
          <w:p w14:paraId="50027273" w14:textId="77777777" w:rsidR="00B5263E" w:rsidRPr="00AC4DAA" w:rsidRDefault="00B5263E" w:rsidP="00E80D26">
            <w:pPr>
              <w:pStyle w:val="NoSpacing"/>
              <w:rPr>
                <w:i/>
                <w:iCs/>
              </w:rPr>
            </w:pPr>
            <w:r>
              <w:rPr>
                <w:iCs/>
              </w:rPr>
              <w:t>BET</w:t>
            </w:r>
          </w:p>
        </w:tc>
        <w:tc>
          <w:tcPr>
            <w:tcW w:w="1949" w:type="dxa"/>
          </w:tcPr>
          <w:p w14:paraId="08ED8218" w14:textId="77777777" w:rsidR="00B5263E" w:rsidRPr="00AC4DAA" w:rsidRDefault="00B5263E" w:rsidP="00E80D26">
            <w:pPr>
              <w:pStyle w:val="NoSpacing"/>
              <w:rPr>
                <w:i/>
                <w:iCs/>
              </w:rPr>
            </w:pPr>
            <w:r w:rsidRPr="00AC4DAA">
              <w:rPr>
                <w:iCs/>
              </w:rPr>
              <w:t>Harkin-Jura</w:t>
            </w:r>
          </w:p>
        </w:tc>
        <w:tc>
          <w:tcPr>
            <w:tcW w:w="1978" w:type="dxa"/>
          </w:tcPr>
          <w:p w14:paraId="1AA47DCE" w14:textId="77777777" w:rsidR="00B5263E" w:rsidRPr="00AC4DAA" w:rsidRDefault="00B5263E" w:rsidP="00E80D26">
            <w:pPr>
              <w:pStyle w:val="NoSpacing"/>
              <w:rPr>
                <w:i/>
                <w:iCs/>
              </w:rPr>
            </w:pPr>
            <w:r w:rsidRPr="00AC4DAA">
              <w:rPr>
                <w:iCs/>
              </w:rPr>
              <w:t>potential theory</w:t>
            </w:r>
          </w:p>
        </w:tc>
        <w:tc>
          <w:tcPr>
            <w:tcW w:w="2073" w:type="dxa"/>
          </w:tcPr>
          <w:p w14:paraId="337B0C52" w14:textId="77777777" w:rsidR="00B5263E" w:rsidRPr="00AC4DAA" w:rsidRDefault="00B5263E" w:rsidP="00E80D26">
            <w:pPr>
              <w:pStyle w:val="NoSpacing"/>
              <w:rPr>
                <w:i/>
                <w:iCs/>
              </w:rPr>
            </w:pPr>
            <w:r w:rsidRPr="00AC4DAA">
              <w:rPr>
                <w:iCs/>
              </w:rPr>
              <w:t>polarization theory</w:t>
            </w:r>
          </w:p>
        </w:tc>
      </w:tr>
      <w:tr w:rsidR="00B5263E" w14:paraId="0D7AD084" w14:textId="77777777" w:rsidTr="00E80D26">
        <w:tc>
          <w:tcPr>
            <w:tcW w:w="1718" w:type="dxa"/>
          </w:tcPr>
          <w:p w14:paraId="660DD3DD" w14:textId="77777777" w:rsidR="00B5263E" w:rsidRPr="00E94B45" w:rsidRDefault="00B5263E" w:rsidP="00E80D26">
            <w:pPr>
              <w:pStyle w:val="NoSpacing"/>
              <w:rPr>
                <w:i/>
                <w:iCs/>
              </w:rPr>
            </w:pPr>
            <w:r w:rsidRPr="00E94B45">
              <w:rPr>
                <w:iCs/>
              </w:rPr>
              <w:t>egg albumin</w:t>
            </w:r>
          </w:p>
        </w:tc>
        <w:tc>
          <w:tcPr>
            <w:tcW w:w="1858" w:type="dxa"/>
          </w:tcPr>
          <w:p w14:paraId="3B85C231" w14:textId="77777777" w:rsidR="00B5263E" w:rsidRPr="00E94B45" w:rsidRDefault="00B5263E" w:rsidP="00E80D26">
            <w:pPr>
              <w:pStyle w:val="NoSpacing"/>
              <w:rPr>
                <w:i/>
                <w:iCs/>
              </w:rPr>
            </w:pPr>
            <w:r>
              <w:rPr>
                <w:iCs/>
              </w:rPr>
              <w:sym w:font="WP MathA" w:char="F022"/>
            </w:r>
            <w:r>
              <w:rPr>
                <w:iCs/>
              </w:rPr>
              <w:t>15 %</w:t>
            </w:r>
          </w:p>
        </w:tc>
        <w:tc>
          <w:tcPr>
            <w:tcW w:w="1949" w:type="dxa"/>
          </w:tcPr>
          <w:p w14:paraId="1577A3C6" w14:textId="77777777" w:rsidR="00B5263E" w:rsidRPr="00E94B45" w:rsidRDefault="00B5263E" w:rsidP="00E80D26">
            <w:pPr>
              <w:pStyle w:val="NoSpacing"/>
              <w:rPr>
                <w:i/>
                <w:iCs/>
              </w:rPr>
            </w:pPr>
            <w:r>
              <w:rPr>
                <w:iCs/>
              </w:rPr>
              <w:sym w:font="WP MathA" w:char="F022"/>
            </w:r>
            <w:r>
              <w:rPr>
                <w:iCs/>
              </w:rPr>
              <w:t>12 %</w:t>
            </w:r>
          </w:p>
        </w:tc>
        <w:tc>
          <w:tcPr>
            <w:tcW w:w="1978" w:type="dxa"/>
          </w:tcPr>
          <w:p w14:paraId="29D2B1D5" w14:textId="77777777" w:rsidR="00B5263E" w:rsidRPr="00E94B45" w:rsidRDefault="00B5263E" w:rsidP="00E80D26">
            <w:pPr>
              <w:pStyle w:val="NoSpacing"/>
              <w:rPr>
                <w:i/>
                <w:iCs/>
              </w:rPr>
            </w:pPr>
            <w:r>
              <w:rPr>
                <w:iCs/>
              </w:rPr>
              <w:sym w:font="WP MathA" w:char="F022"/>
            </w:r>
            <w:r>
              <w:rPr>
                <w:iCs/>
              </w:rPr>
              <w:t>2 %</w:t>
            </w:r>
          </w:p>
        </w:tc>
        <w:tc>
          <w:tcPr>
            <w:tcW w:w="2073" w:type="dxa"/>
          </w:tcPr>
          <w:p w14:paraId="12FCF61F" w14:textId="77777777" w:rsidR="00B5263E" w:rsidRPr="00E94B45" w:rsidRDefault="00B5263E" w:rsidP="00E80D26">
            <w:pPr>
              <w:pStyle w:val="NoSpacing"/>
              <w:rPr>
                <w:i/>
                <w:iCs/>
              </w:rPr>
            </w:pPr>
            <w:r>
              <w:rPr>
                <w:iCs/>
              </w:rPr>
              <w:sym w:font="WP MathA" w:char="F022"/>
            </w:r>
            <w:r>
              <w:rPr>
                <w:iCs/>
              </w:rPr>
              <w:t>6 %</w:t>
            </w:r>
          </w:p>
        </w:tc>
      </w:tr>
      <w:tr w:rsidR="00B5263E" w14:paraId="215BA5D7" w14:textId="77777777" w:rsidTr="00E80D26">
        <w:tc>
          <w:tcPr>
            <w:tcW w:w="1718" w:type="dxa"/>
          </w:tcPr>
          <w:p w14:paraId="3B9E15D8" w14:textId="77777777" w:rsidR="00B5263E" w:rsidRPr="00E94B45" w:rsidRDefault="00B5263E" w:rsidP="00E80D26">
            <w:pPr>
              <w:pStyle w:val="NoSpacing"/>
              <w:rPr>
                <w:i/>
                <w:iCs/>
              </w:rPr>
            </w:pPr>
            <w:r>
              <w:rPr>
                <w:iCs/>
              </w:rPr>
              <w:t>TiO</w:t>
            </w:r>
            <w:r>
              <w:rPr>
                <w:iCs/>
                <w:vertAlign w:val="subscript"/>
              </w:rPr>
              <w:t>2</w:t>
            </w:r>
            <w:r>
              <w:rPr>
                <w:iCs/>
              </w:rPr>
              <w:t>/</w:t>
            </w:r>
            <w:proofErr w:type="spellStart"/>
            <w:r>
              <w:rPr>
                <w:iCs/>
              </w:rPr>
              <w:t>KCl</w:t>
            </w:r>
            <w:proofErr w:type="spellEnd"/>
          </w:p>
        </w:tc>
        <w:tc>
          <w:tcPr>
            <w:tcW w:w="1858" w:type="dxa"/>
          </w:tcPr>
          <w:p w14:paraId="3AB8DAA8" w14:textId="77777777" w:rsidR="00B5263E" w:rsidRDefault="00B5263E" w:rsidP="00E80D26">
            <w:pPr>
              <w:pStyle w:val="NoSpacing"/>
            </w:pPr>
            <w:r>
              <w:rPr>
                <w:iCs/>
              </w:rPr>
              <w:sym w:font="WP MathA" w:char="F022"/>
            </w:r>
            <w:r>
              <w:rPr>
                <w:iCs/>
              </w:rPr>
              <w:t>10 %</w:t>
            </w:r>
          </w:p>
        </w:tc>
        <w:tc>
          <w:tcPr>
            <w:tcW w:w="1949" w:type="dxa"/>
          </w:tcPr>
          <w:p w14:paraId="60A93B0B" w14:textId="77777777" w:rsidR="00B5263E" w:rsidRDefault="00B5263E" w:rsidP="00E80D26">
            <w:pPr>
              <w:pStyle w:val="NoSpacing"/>
            </w:pPr>
            <w:r>
              <w:rPr>
                <w:iCs/>
              </w:rPr>
              <w:sym w:font="WP MathA" w:char="F022"/>
            </w:r>
            <w:r>
              <w:rPr>
                <w:iCs/>
              </w:rPr>
              <w:t>13 %</w:t>
            </w:r>
          </w:p>
        </w:tc>
        <w:tc>
          <w:tcPr>
            <w:tcW w:w="1978" w:type="dxa"/>
          </w:tcPr>
          <w:p w14:paraId="574AF0EF" w14:textId="77777777" w:rsidR="00B5263E" w:rsidRDefault="00B5263E" w:rsidP="00E80D26">
            <w:pPr>
              <w:pStyle w:val="NoSpacing"/>
            </w:pPr>
            <w:r>
              <w:rPr>
                <w:iCs/>
              </w:rPr>
              <w:sym w:font="WP MathA" w:char="F022"/>
            </w:r>
            <w:r>
              <w:rPr>
                <w:iCs/>
              </w:rPr>
              <w:t>1 %</w:t>
            </w:r>
          </w:p>
        </w:tc>
        <w:tc>
          <w:tcPr>
            <w:tcW w:w="2073" w:type="dxa"/>
          </w:tcPr>
          <w:p w14:paraId="7109D5CA" w14:textId="77777777" w:rsidR="00B5263E" w:rsidRDefault="00B5263E" w:rsidP="00E80D26">
            <w:pPr>
              <w:pStyle w:val="NoSpacing"/>
            </w:pPr>
            <w:r>
              <w:rPr>
                <w:iCs/>
              </w:rPr>
              <w:sym w:font="WP MathA" w:char="F022"/>
            </w:r>
            <w:r>
              <w:rPr>
                <w:iCs/>
              </w:rPr>
              <w:t>0 %</w:t>
            </w:r>
          </w:p>
        </w:tc>
      </w:tr>
      <w:tr w:rsidR="00B5263E" w14:paraId="72A4EE41" w14:textId="77777777" w:rsidTr="00E80D26">
        <w:tc>
          <w:tcPr>
            <w:tcW w:w="1718" w:type="dxa"/>
          </w:tcPr>
          <w:p w14:paraId="53F5DB88" w14:textId="77777777" w:rsidR="00B5263E" w:rsidRPr="00E94B45" w:rsidRDefault="00B5263E" w:rsidP="00E80D26">
            <w:pPr>
              <w:pStyle w:val="NoSpacing"/>
              <w:rPr>
                <w:i/>
                <w:iCs/>
              </w:rPr>
            </w:pPr>
            <w:proofErr w:type="spellStart"/>
            <w:r>
              <w:rPr>
                <w:iCs/>
              </w:rPr>
              <w:t>SiC</w:t>
            </w:r>
            <w:proofErr w:type="spellEnd"/>
            <w:r>
              <w:rPr>
                <w:iCs/>
              </w:rPr>
              <w:t>/Sterling C</w:t>
            </w:r>
          </w:p>
        </w:tc>
        <w:tc>
          <w:tcPr>
            <w:tcW w:w="1858" w:type="dxa"/>
          </w:tcPr>
          <w:p w14:paraId="19F3D39D" w14:textId="77777777" w:rsidR="00B5263E" w:rsidRDefault="00B5263E" w:rsidP="00E80D26">
            <w:pPr>
              <w:pStyle w:val="NoSpacing"/>
            </w:pPr>
            <w:r>
              <w:rPr>
                <w:iCs/>
              </w:rPr>
              <w:sym w:font="WP MathA" w:char="F022"/>
            </w:r>
            <w:r>
              <w:rPr>
                <w:iCs/>
              </w:rPr>
              <w:t>4%</w:t>
            </w:r>
          </w:p>
        </w:tc>
        <w:tc>
          <w:tcPr>
            <w:tcW w:w="1949" w:type="dxa"/>
          </w:tcPr>
          <w:p w14:paraId="3A09F465" w14:textId="77777777" w:rsidR="00B5263E" w:rsidRDefault="00B5263E" w:rsidP="00E80D26">
            <w:pPr>
              <w:pStyle w:val="NoSpacing"/>
            </w:pPr>
            <w:r>
              <w:rPr>
                <w:iCs/>
              </w:rPr>
              <w:sym w:font="WP MathA" w:char="F022"/>
            </w:r>
            <w:r>
              <w:rPr>
                <w:iCs/>
              </w:rPr>
              <w:t>11 %</w:t>
            </w:r>
          </w:p>
        </w:tc>
        <w:tc>
          <w:tcPr>
            <w:tcW w:w="1978" w:type="dxa"/>
          </w:tcPr>
          <w:p w14:paraId="2AF18FAC" w14:textId="77777777" w:rsidR="00B5263E" w:rsidRDefault="00B5263E" w:rsidP="00E80D26">
            <w:pPr>
              <w:pStyle w:val="NoSpacing"/>
            </w:pPr>
            <w:r>
              <w:rPr>
                <w:iCs/>
              </w:rPr>
              <w:sym w:font="WP MathA" w:char="F022"/>
            </w:r>
            <w:r>
              <w:rPr>
                <w:iCs/>
              </w:rPr>
              <w:t>7 %</w:t>
            </w:r>
          </w:p>
        </w:tc>
        <w:tc>
          <w:tcPr>
            <w:tcW w:w="2073" w:type="dxa"/>
          </w:tcPr>
          <w:p w14:paraId="1021902E" w14:textId="77777777" w:rsidR="00B5263E" w:rsidRDefault="00B5263E" w:rsidP="00E80D26">
            <w:pPr>
              <w:pStyle w:val="NoSpacing"/>
            </w:pPr>
            <w:r>
              <w:rPr>
                <w:iCs/>
              </w:rPr>
              <w:sym w:font="WP MathA" w:char="F022"/>
            </w:r>
            <w:r>
              <w:rPr>
                <w:iCs/>
              </w:rPr>
              <w:t>4 %</w:t>
            </w:r>
          </w:p>
        </w:tc>
      </w:tr>
    </w:tbl>
    <w:p w14:paraId="3C5520A2" w14:textId="77777777" w:rsidR="00B5263E" w:rsidRDefault="00B5263E" w:rsidP="00B5263E">
      <w:pPr>
        <w:pStyle w:val="NoSpacing"/>
      </w:pPr>
      <w:r>
        <w:t>Overall, the potential theory and polarization theory were equal in their reproducibility and superior to the BET and Harkin-Jura.  Professor Adamson did not write so but given the limited range and poor reproducibility of the BET compared to the potential/polarization equation it would normally be no contest.</w:t>
      </w:r>
    </w:p>
    <w:p w14:paraId="28D1CBC8" w14:textId="77777777" w:rsidR="00B5263E" w:rsidRDefault="00B5263E" w:rsidP="00B5263E">
      <w:pPr>
        <w:pStyle w:val="NoSpacing"/>
      </w:pPr>
      <w:r>
        <w:t xml:space="preserve">However, his conclusion was that, despite the poor performance of the BET that researchers prefer it since the area of the surface is specifically given a value based on some simple assumptions.  These are the sites of adsorption are spaced in a close packed arrangement, and the area taken up by a molecule is that which is expected from the liquid density of the adsorptive.  This is a psychological advantage for the BET even if it is incorrect, and even if more than </w:t>
      </w:r>
      <w:bookmarkStart w:id="82" w:name="TUWYLO"/>
      <w:bookmarkEnd w:id="82"/>
      <w:r>
        <w:t>2/3 of the data must be ignored.  Despite these problems, he did not provide a conclusion.  He wrote in the first edition:</w:t>
      </w:r>
    </w:p>
    <w:p w14:paraId="138384D6" w14:textId="77777777" w:rsidR="00B5263E" w:rsidRPr="00DB78E4" w:rsidRDefault="00B5263E" w:rsidP="00B5263E">
      <w:pPr>
        <w:pStyle w:val="NoSpacing"/>
        <w:ind w:left="720"/>
      </w:pPr>
      <w:r>
        <w:lastRenderedPageBreak/>
        <w:t xml:space="preserve">“There is thus little to choose from between the various models, but partly because of tradition and familiarity and partly because </w:t>
      </w:r>
      <w:r>
        <w:rPr>
          <w:i/>
          <w:iCs/>
        </w:rPr>
        <w:t>v</w:t>
      </w:r>
      <w:r>
        <w:rPr>
          <w:vertAlign w:val="subscript"/>
        </w:rPr>
        <w:t>m</w:t>
      </w:r>
      <w:r>
        <w:t xml:space="preserve"> enters in it so explicitly, the BET equation is in fact almost exclusively used.”</w:t>
      </w:r>
    </w:p>
    <w:p w14:paraId="378BBCAA" w14:textId="77777777" w:rsidR="00B5263E" w:rsidRDefault="00B5263E" w:rsidP="00B5263E">
      <w:pPr>
        <w:pStyle w:val="NoSpacing"/>
      </w:pPr>
      <w:r>
        <w:t>Later 5</w:t>
      </w:r>
      <w:r w:rsidRPr="00DF7E02">
        <w:rPr>
          <w:vertAlign w:val="superscript"/>
        </w:rPr>
        <w:t>th</w:t>
      </w:r>
      <w:r>
        <w:t xml:space="preserve"> edition:</w:t>
      </w:r>
    </w:p>
    <w:p w14:paraId="06D1A512" w14:textId="68F4772D" w:rsidR="00B5263E" w:rsidRDefault="00B5263E" w:rsidP="00B5263E">
      <w:pPr>
        <w:pStyle w:val="NoSpacing"/>
        <w:ind w:left="720"/>
      </w:pPr>
      <w:r>
        <w:t>Thus, a plot of log</w:t>
      </w:r>
      <w:r w:rsidR="00E80D26">
        <w:t>(</w:t>
      </w:r>
      <w:proofErr w:type="gramStart"/>
      <w:r>
        <w:t>log</w:t>
      </w:r>
      <w:r w:rsidR="00E80D26">
        <w:t>(</w:t>
      </w:r>
      <w:proofErr w:type="gramEnd"/>
      <w:r>
        <w:rPr>
          <w:i/>
          <w:iCs/>
        </w:rPr>
        <w:t>P</w:t>
      </w:r>
      <w:r>
        <w:rPr>
          <w:vertAlign w:val="superscript"/>
        </w:rPr>
        <w:t>o</w:t>
      </w:r>
      <w:r>
        <w:t>/</w:t>
      </w:r>
      <w:r>
        <w:rPr>
          <w:i/>
          <w:iCs/>
        </w:rPr>
        <w:t>P</w:t>
      </w:r>
      <w:r w:rsidR="00E80D26">
        <w:t>))</w:t>
      </w:r>
      <w:r>
        <w:rPr>
          <w:i/>
          <w:iCs/>
        </w:rPr>
        <w:t xml:space="preserve"> </w:t>
      </w:r>
      <w:r w:rsidRPr="00DF7E02">
        <w:t>versus</w:t>
      </w:r>
      <w:r>
        <w:rPr>
          <w:i/>
          <w:iCs/>
        </w:rPr>
        <w:t xml:space="preserve"> </w:t>
      </w:r>
      <w:r w:rsidRPr="00DF7E02">
        <w:rPr>
          <w:i/>
          <w:iCs/>
        </w:rPr>
        <w:t>n</w:t>
      </w:r>
      <w:r>
        <w:rPr>
          <w:i/>
          <w:iCs/>
        </w:rPr>
        <w:t xml:space="preserve"> </w:t>
      </w:r>
      <w:r>
        <w:t>should give a straight line, and indeed Eq. XVI-92 is quite successful.  The polarization theory was severely criticized by Brunauer on the grounds the effect was not large enough and the theory has been largely ignored.</w:t>
      </w:r>
    </w:p>
    <w:p w14:paraId="33B658D0" w14:textId="77777777" w:rsidR="00B5263E" w:rsidRDefault="00B5263E" w:rsidP="00B5263E">
      <w:pPr>
        <w:pStyle w:val="NoSpacing"/>
        <w:ind w:left="720"/>
      </w:pPr>
      <w:r>
        <w:t>[However,] returning to multilayer adsorption, the potential model [</w:t>
      </w:r>
      <w:proofErr w:type="spellStart"/>
      <w:r w:rsidRPr="003B728C">
        <w:rPr>
          <w:b/>
          <w:bCs/>
        </w:rPr>
        <w:t>lnln</w:t>
      </w:r>
      <w:proofErr w:type="spellEnd"/>
      <w:r>
        <w:t xml:space="preserve"> model] appears to be fundamentally correct.</w:t>
      </w:r>
    </w:p>
    <w:p w14:paraId="0841EDBD" w14:textId="77777777" w:rsidR="00E80D26" w:rsidRDefault="00E80D26" w:rsidP="00B5263E">
      <w:pPr>
        <w:pStyle w:val="NoSpacing"/>
        <w:ind w:left="720"/>
      </w:pPr>
    </w:p>
    <w:p w14:paraId="757A0305" w14:textId="7AF5FACE" w:rsidR="00B5263E" w:rsidRDefault="00B5263E" w:rsidP="00B5263E">
      <w:pPr>
        <w:pStyle w:val="NoSpacing"/>
      </w:pPr>
      <w:r>
        <w:t xml:space="preserve">He then dismisses all theories that have energies that are dependent not only on the adsorbate but also upon the adsorbent.  This was based on the belief that all </w:t>
      </w:r>
      <w:r>
        <w:rPr>
          <w:i/>
          <w:iCs/>
        </w:rPr>
        <w:t>t</w:t>
      </w:r>
      <w:r>
        <w:t>-plots are the same regardless of adsorbent, which is incorrect.  There is no experiment nor theoretical reason for that to be true.  There is a great difference between the starting energy on a silica sample and a Teflon</w:t>
      </w:r>
      <w:r>
        <w:rPr>
          <w:rFonts w:ascii="Work Sans" w:hAnsi="Work Sans"/>
        </w:rPr>
        <w:t>®</w:t>
      </w:r>
      <w:r>
        <w:rPr>
          <w:rStyle w:val="FootnoteReference"/>
          <w:rFonts w:ascii="Work Sans" w:hAnsi="Work Sans"/>
        </w:rPr>
        <w:footnoteReference w:id="23"/>
      </w:r>
      <w:r>
        <w:t xml:space="preserve"> sample.  It also makes no sense from a chemical standpoint.  Theoretically, however, since the </w:t>
      </w:r>
      <w:r w:rsidR="00E80D26">
        <w:t>ln(</w:t>
      </w:r>
      <w:proofErr w:type="gramStart"/>
      <w:r w:rsidR="00E80D26">
        <w:t>ln(</w:t>
      </w:r>
      <w:proofErr w:type="gramEnd"/>
      <w:r w:rsidR="00E80D26">
        <w:rPr>
          <w:i/>
          <w:iCs/>
        </w:rPr>
        <w:t>P</w:t>
      </w:r>
      <w:r w:rsidR="00E80D26">
        <w:rPr>
          <w:vertAlign w:val="superscript"/>
        </w:rPr>
        <w:t>o</w:t>
      </w:r>
      <w:r w:rsidR="00E80D26">
        <w:t>/</w:t>
      </w:r>
      <w:r w:rsidR="00E80D26">
        <w:rPr>
          <w:i/>
          <w:iCs/>
        </w:rPr>
        <w:t>P</w:t>
      </w:r>
      <w:r w:rsidR="00E80D26">
        <w:t>))</w:t>
      </w:r>
      <w:r>
        <w:t xml:space="preserve"> is a straight line then at </w:t>
      </w:r>
      <w:r>
        <w:rPr>
          <w:i/>
          <w:iCs/>
        </w:rPr>
        <w:t>t</w:t>
      </w:r>
      <w:r>
        <w:t xml:space="preserve">-plots are identical except for an abscissa translation that might be difficult to detect if data begins at </w:t>
      </w:r>
      <w:r>
        <w:rPr>
          <w:i/>
          <w:iCs/>
        </w:rPr>
        <w:t xml:space="preserve">X = </w:t>
      </w:r>
      <w:r>
        <w:t xml:space="preserve">0.01 and any </w:t>
      </w:r>
      <w:r>
        <w:rPr>
          <w:i/>
          <w:iCs/>
        </w:rPr>
        <w:t>n</w:t>
      </w:r>
      <w:r>
        <w:rPr>
          <w:vertAlign w:val="subscript"/>
        </w:rPr>
        <w:t>a</w:t>
      </w:r>
      <w:r>
        <w:t xml:space="preserve"> offset is ignored.</w:t>
      </w:r>
    </w:p>
    <w:p w14:paraId="4B558C5B" w14:textId="77777777" w:rsidR="00E80D26" w:rsidRPr="00534329" w:rsidRDefault="00E80D26" w:rsidP="00B5263E">
      <w:pPr>
        <w:pStyle w:val="NoSpacing"/>
      </w:pPr>
    </w:p>
    <w:p w14:paraId="64D2C063" w14:textId="61240AD5" w:rsidR="00B5263E" w:rsidRDefault="00B5263E" w:rsidP="00B5263E">
      <w:pPr>
        <w:pStyle w:val="NoSpacing"/>
      </w:pPr>
      <w:r>
        <w:t>He does not mention Einstein’s attack at the Berlin Conference, which probably carried more weight.  The Brunauer criticism essentially dismissed any serious discussion of physical intermolecular attractions on the basis that they are too weak.  Although the BET assumes that some of the surface initially either remains free of adsorbate or the attractions are chemical bonds.  Since the energies can be quite high, Brunauer came down on the side of chemical bonding, eliminating a phase transition from the first layer, thus his response to Fuller</w:t>
      </w:r>
      <w:r w:rsidR="003507AF">
        <w:fldChar w:fldCharType="begin"/>
      </w:r>
      <w:r w:rsidR="003507AF">
        <w:instrText xml:space="preserve"> NOTEREF _Ref171506542 \f \h </w:instrText>
      </w:r>
      <w:r w:rsidR="003507AF">
        <w:fldChar w:fldCharType="separate"/>
      </w:r>
      <w:r w:rsidR="003507AF" w:rsidRPr="003507AF">
        <w:rPr>
          <w:rStyle w:val="EndnoteReference"/>
        </w:rPr>
        <w:t>3</w:t>
      </w:r>
      <w:r w:rsidR="003507AF">
        <w:fldChar w:fldCharType="end"/>
      </w:r>
      <w:r>
        <w:t xml:space="preserve"> that the phase transition is at </w:t>
      </w:r>
      <w:r>
        <w:rPr>
          <w:i/>
          <w:iCs/>
        </w:rPr>
        <w:t>P</w:t>
      </w:r>
      <w:r>
        <w:rPr>
          <w:vertAlign w:val="superscript"/>
        </w:rPr>
        <w:t>o</w:t>
      </w:r>
      <w:r>
        <w:t>, a response that is thermodynamically unsatisfying.</w:t>
      </w:r>
    </w:p>
    <w:p w14:paraId="2347920A" w14:textId="77777777" w:rsidR="00E80D26" w:rsidRPr="006C2C6D" w:rsidRDefault="00E80D26" w:rsidP="00B5263E">
      <w:pPr>
        <w:pStyle w:val="NoSpacing"/>
      </w:pPr>
    </w:p>
    <w:p w14:paraId="042B93A0" w14:textId="77777777" w:rsidR="00B5263E" w:rsidRDefault="00B5263E" w:rsidP="00B5263E">
      <w:pPr>
        <w:pStyle w:val="NoSpacing"/>
      </w:pPr>
      <w:r>
        <w:t xml:space="preserve">One of the items that Professor Adamson surely knew, since there seems to be qualification to this, the percentage of error should be taken from the plot of the calculated values of the moles absorbed versus the real values.  Normally, what is reported is the linear regression of the BET transform.  Such a calculation of standard deviation yielded values is not only meaningless but deceptive, after all one would think that a plot of </w:t>
      </w:r>
      <w:r>
        <w:rPr>
          <w:i/>
          <w:iCs/>
        </w:rPr>
        <w:t>X</w:t>
      </w:r>
      <w:proofErr w:type="gramStart"/>
      <w:r>
        <w:rPr>
          <w:rFonts w:cs="Times New Roman"/>
          <w:i/>
          <w:iCs/>
        </w:rPr>
        <w:t>×</w:t>
      </w:r>
      <w:r w:rsidRPr="00B812B3">
        <w:t>(</w:t>
      </w:r>
      <w:proofErr w:type="gramEnd"/>
      <w:r w:rsidRPr="00B812B3">
        <w:t>a content)</w:t>
      </w:r>
      <w:r>
        <w:t xml:space="preserve"> versus </w:t>
      </w:r>
      <w:r>
        <w:rPr>
          <w:i/>
          <w:iCs/>
        </w:rPr>
        <w:t>X</w:t>
      </w:r>
      <w:r>
        <w:t xml:space="preserve"> would be very good since the denominator has counter-weighting terms yielding a nearly linear value.  (Indeed, the Rouquerol criterion nearly requires this to be the case.)  A rework of the data that he uses by Keeton and Holmes</w:t>
      </w:r>
      <w:r>
        <w:rPr>
          <w:rStyle w:val="EndnoteReference"/>
        </w:rPr>
        <w:endnoteReference w:id="44"/>
      </w:r>
      <w:r>
        <w:t xml:space="preserve"> illustrates this.  In the </w:t>
      </w:r>
      <w:r w:rsidRPr="00FF4766">
        <w:rPr>
          <w:i/>
          <w:iCs/>
        </w:rPr>
        <w:fldChar w:fldCharType="begin"/>
      </w:r>
      <w:r w:rsidRPr="00FF4766">
        <w:rPr>
          <w:i/>
          <w:iCs/>
        </w:rPr>
        <w:instrText xml:space="preserve"> REF _Ref170470879 \h </w:instrText>
      </w:r>
      <w:r>
        <w:rPr>
          <w:i/>
          <w:iCs/>
        </w:rPr>
        <w:instrText xml:space="preserve"> \* MERGEFORMAT </w:instrText>
      </w:r>
      <w:r w:rsidRPr="00FF4766">
        <w:rPr>
          <w:i/>
          <w:iCs/>
        </w:rPr>
      </w:r>
      <w:r w:rsidRPr="00FF4766">
        <w:rPr>
          <w:i/>
          <w:iCs/>
        </w:rPr>
        <w:fldChar w:fldCharType="separate"/>
      </w:r>
      <w:r w:rsidRPr="00FF4766">
        <w:rPr>
          <w:i/>
          <w:iCs/>
        </w:rPr>
        <w:t xml:space="preserve">Table </w:t>
      </w:r>
      <w:r w:rsidRPr="00FF4766">
        <w:rPr>
          <w:i/>
          <w:iCs/>
          <w:noProof/>
        </w:rPr>
        <w:t>1</w:t>
      </w:r>
      <w:r w:rsidRPr="00FF4766">
        <w:rPr>
          <w:i/>
          <w:iCs/>
        </w:rPr>
        <w:fldChar w:fldCharType="end"/>
      </w:r>
      <w:r>
        <w:t xml:space="preserve"> below, this data is reworked to yield the BET answer and the quantum mechanical (QM) answer.  In </w:t>
      </w:r>
      <w:r w:rsidRPr="003756A4">
        <w:rPr>
          <w:i/>
          <w:iCs/>
        </w:rPr>
        <w:fldChar w:fldCharType="begin"/>
      </w:r>
      <w:r w:rsidRPr="003756A4">
        <w:rPr>
          <w:i/>
          <w:iCs/>
        </w:rPr>
        <w:instrText xml:space="preserve"> REF _Ref170470879 \h </w:instrText>
      </w:r>
      <w:r>
        <w:rPr>
          <w:i/>
          <w:iCs/>
        </w:rPr>
        <w:instrText xml:space="preserve"> \* MERGEFORMAT </w:instrText>
      </w:r>
      <w:r w:rsidRPr="003756A4">
        <w:rPr>
          <w:i/>
          <w:iCs/>
        </w:rPr>
      </w:r>
      <w:r w:rsidRPr="003756A4">
        <w:rPr>
          <w:i/>
          <w:iCs/>
        </w:rPr>
        <w:fldChar w:fldCharType="separate"/>
      </w:r>
      <w:r w:rsidRPr="003756A4">
        <w:rPr>
          <w:i/>
          <w:iCs/>
        </w:rPr>
        <w:t xml:space="preserve">Table </w:t>
      </w:r>
      <w:r w:rsidRPr="003756A4">
        <w:rPr>
          <w:i/>
          <w:iCs/>
          <w:noProof/>
        </w:rPr>
        <w:t>1</w:t>
      </w:r>
      <w:r w:rsidRPr="003756A4">
        <w:rPr>
          <w:i/>
          <w:iCs/>
        </w:rPr>
        <w:fldChar w:fldCharType="end"/>
      </w:r>
      <w:r>
        <w:t xml:space="preserve"> the range all the data points were used for the QM calculation, whereas only the points in the range </w:t>
      </w:r>
      <w:r w:rsidRPr="003756A4">
        <w:rPr>
          <w:rFonts w:cs="Times New Roman"/>
          <w:i/>
          <w:iCs/>
          <w:szCs w:val="24"/>
        </w:rPr>
        <w:t>P/P</w:t>
      </w:r>
      <w:r>
        <w:rPr>
          <w:rFonts w:cs="Times New Roman"/>
          <w:iCs/>
          <w:szCs w:val="24"/>
          <w:vertAlign w:val="subscript"/>
        </w:rPr>
        <w:t>vap</w:t>
      </w:r>
      <w:r>
        <w:rPr>
          <w:rFonts w:cs="Times New Roman"/>
          <w:iCs/>
          <w:szCs w:val="24"/>
        </w:rPr>
        <w:t xml:space="preserve"> = the lowest recorded (there were none below 0.01) to the highest recorded but not greater than 0.35 were used </w:t>
      </w:r>
      <w:r>
        <w:t>for the BET.  Outside this range, the BET fit was extremely bad.</w:t>
      </w:r>
    </w:p>
    <w:p w14:paraId="16CB05B1" w14:textId="77777777" w:rsidR="00B5263E" w:rsidRDefault="00B5263E" w:rsidP="00B5263E">
      <w:pPr>
        <w:pStyle w:val="NoSpacing"/>
      </w:pPr>
    </w:p>
    <w:p w14:paraId="05A6235B" w14:textId="77777777" w:rsidR="00B5263E" w:rsidRPr="002A2421" w:rsidRDefault="00B5263E" w:rsidP="00B5263E">
      <w:pPr>
        <w:pStyle w:val="Caption"/>
        <w:keepNext/>
      </w:pPr>
      <w:bookmarkStart w:id="83" w:name="_Ref170470879"/>
      <w:r>
        <w:t xml:space="preserve">Table </w:t>
      </w:r>
      <w:r>
        <w:fldChar w:fldCharType="begin"/>
      </w:r>
      <w:r>
        <w:instrText xml:space="preserve"> SEQ Table \* ARABIC </w:instrText>
      </w:r>
      <w:r>
        <w:fldChar w:fldCharType="separate"/>
      </w:r>
      <w:r>
        <w:rPr>
          <w:noProof/>
        </w:rPr>
        <w:t>1</w:t>
      </w:r>
      <w:r>
        <w:fldChar w:fldCharType="end"/>
      </w:r>
      <w:bookmarkEnd w:id="83"/>
      <w:r>
        <w:t xml:space="preserve"> Rework of the Keeton and Holmes data of N</w:t>
      </w:r>
      <w:r>
        <w:rPr>
          <w:vertAlign w:val="subscript"/>
        </w:rPr>
        <w:t>2</w:t>
      </w:r>
      <w:r>
        <w:t>, Ar, and O</w:t>
      </w:r>
      <w:r>
        <w:rPr>
          <w:vertAlign w:val="subscript"/>
        </w:rPr>
        <w:t>2</w:t>
      </w:r>
      <w:r>
        <w:t xml:space="preserve"> on </w:t>
      </w:r>
      <w:proofErr w:type="spellStart"/>
      <w:r>
        <w:t>KCl</w:t>
      </w:r>
      <w:proofErr w:type="spellEnd"/>
      <w:r>
        <w:t xml:space="preserve"> powder at different temperatures.  Data is available from the original publication.</w:t>
      </w:r>
    </w:p>
    <w:tbl>
      <w:tblPr>
        <w:tblStyle w:val="TableGrid"/>
        <w:tblW w:w="0" w:type="auto"/>
        <w:tblLook w:val="04A0" w:firstRow="1" w:lastRow="0" w:firstColumn="1" w:lastColumn="0" w:noHBand="0" w:noVBand="1"/>
      </w:tblPr>
      <w:tblGrid>
        <w:gridCol w:w="1124"/>
        <w:gridCol w:w="832"/>
        <w:gridCol w:w="833"/>
        <w:gridCol w:w="833"/>
        <w:gridCol w:w="833"/>
        <w:gridCol w:w="833"/>
        <w:gridCol w:w="730"/>
        <w:gridCol w:w="833"/>
        <w:gridCol w:w="833"/>
        <w:gridCol w:w="833"/>
        <w:gridCol w:w="833"/>
      </w:tblGrid>
      <w:tr w:rsidR="00B5263E" w:rsidRPr="002A2421" w14:paraId="2545CC8D" w14:textId="77777777" w:rsidTr="00E80D26">
        <w:tc>
          <w:tcPr>
            <w:tcW w:w="1124" w:type="dxa"/>
          </w:tcPr>
          <w:p w14:paraId="51A71B8C" w14:textId="77777777" w:rsidR="00B5263E" w:rsidRPr="002A2421" w:rsidRDefault="00B5263E" w:rsidP="00E80D26">
            <w:pPr>
              <w:jc w:val="center"/>
              <w:rPr>
                <w:rFonts w:cs="Times New Roman"/>
                <w:sz w:val="20"/>
                <w:szCs w:val="20"/>
              </w:rPr>
            </w:pPr>
            <w:r w:rsidRPr="002A2421">
              <w:rPr>
                <w:rFonts w:cs="Times New Roman"/>
                <w:sz w:val="20"/>
                <w:szCs w:val="20"/>
              </w:rPr>
              <w:t>Isotherm</w:t>
            </w:r>
          </w:p>
        </w:tc>
        <w:tc>
          <w:tcPr>
            <w:tcW w:w="4164" w:type="dxa"/>
            <w:gridSpan w:val="5"/>
          </w:tcPr>
          <w:p w14:paraId="12D89A43" w14:textId="77777777" w:rsidR="00B5263E" w:rsidRPr="002A2421" w:rsidRDefault="00B5263E" w:rsidP="00E80D26">
            <w:pPr>
              <w:jc w:val="center"/>
              <w:rPr>
                <w:rFonts w:cs="Times New Roman"/>
                <w:sz w:val="20"/>
                <w:szCs w:val="20"/>
              </w:rPr>
            </w:pPr>
            <w:r w:rsidRPr="002A2421">
              <w:rPr>
                <w:rFonts w:cs="Times New Roman"/>
                <w:sz w:val="20"/>
                <w:szCs w:val="20"/>
              </w:rPr>
              <w:t>Nitrogen</w:t>
            </w:r>
          </w:p>
        </w:tc>
        <w:tc>
          <w:tcPr>
            <w:tcW w:w="2396" w:type="dxa"/>
            <w:gridSpan w:val="3"/>
          </w:tcPr>
          <w:p w14:paraId="1AA2ABFF" w14:textId="77777777" w:rsidR="00B5263E" w:rsidRPr="002A2421" w:rsidRDefault="00B5263E" w:rsidP="00E80D26">
            <w:pPr>
              <w:jc w:val="center"/>
              <w:rPr>
                <w:rFonts w:cs="Times New Roman"/>
                <w:sz w:val="20"/>
                <w:szCs w:val="20"/>
              </w:rPr>
            </w:pPr>
            <w:r w:rsidRPr="002A2421">
              <w:rPr>
                <w:rFonts w:cs="Times New Roman"/>
                <w:sz w:val="20"/>
                <w:szCs w:val="20"/>
              </w:rPr>
              <w:t>Argon</w:t>
            </w:r>
          </w:p>
        </w:tc>
        <w:tc>
          <w:tcPr>
            <w:tcW w:w="1666" w:type="dxa"/>
            <w:gridSpan w:val="2"/>
          </w:tcPr>
          <w:p w14:paraId="6DAD1D31" w14:textId="77777777" w:rsidR="00B5263E" w:rsidRPr="002A2421" w:rsidRDefault="00B5263E" w:rsidP="00E80D26">
            <w:pPr>
              <w:jc w:val="center"/>
              <w:rPr>
                <w:rFonts w:cs="Times New Roman"/>
                <w:sz w:val="20"/>
                <w:szCs w:val="20"/>
              </w:rPr>
            </w:pPr>
            <w:r w:rsidRPr="002A2421">
              <w:rPr>
                <w:rFonts w:cs="Times New Roman"/>
                <w:sz w:val="20"/>
                <w:szCs w:val="20"/>
              </w:rPr>
              <w:t>Oxygen</w:t>
            </w:r>
          </w:p>
        </w:tc>
      </w:tr>
      <w:tr w:rsidR="00B5263E" w:rsidRPr="002A2421" w14:paraId="5BC14496" w14:textId="77777777" w:rsidTr="00E80D26">
        <w:tc>
          <w:tcPr>
            <w:tcW w:w="1124" w:type="dxa"/>
          </w:tcPr>
          <w:p w14:paraId="01C4F87F" w14:textId="77777777" w:rsidR="00B5263E" w:rsidRPr="002A2421" w:rsidRDefault="00B5263E" w:rsidP="00E80D26">
            <w:pPr>
              <w:rPr>
                <w:rFonts w:cs="Times New Roman"/>
                <w:sz w:val="20"/>
                <w:szCs w:val="20"/>
              </w:rPr>
            </w:pPr>
            <w:r w:rsidRPr="002A2421">
              <w:rPr>
                <w:rFonts w:cs="Times New Roman"/>
                <w:sz w:val="20"/>
                <w:szCs w:val="20"/>
              </w:rPr>
              <w:t>/K</w:t>
            </w:r>
          </w:p>
        </w:tc>
        <w:tc>
          <w:tcPr>
            <w:tcW w:w="832" w:type="dxa"/>
          </w:tcPr>
          <w:p w14:paraId="7C7DC73F" w14:textId="77777777" w:rsidR="00B5263E" w:rsidRPr="002A2421" w:rsidRDefault="00B5263E" w:rsidP="00E80D26">
            <w:pPr>
              <w:rPr>
                <w:rFonts w:cs="Times New Roman"/>
                <w:sz w:val="20"/>
                <w:szCs w:val="20"/>
              </w:rPr>
            </w:pPr>
            <w:r w:rsidRPr="002A2421">
              <w:rPr>
                <w:rFonts w:cs="Times New Roman"/>
                <w:sz w:val="20"/>
                <w:szCs w:val="20"/>
              </w:rPr>
              <w:t>78</w:t>
            </w:r>
          </w:p>
        </w:tc>
        <w:tc>
          <w:tcPr>
            <w:tcW w:w="833" w:type="dxa"/>
          </w:tcPr>
          <w:p w14:paraId="0051B50D" w14:textId="77777777" w:rsidR="00B5263E" w:rsidRPr="002A2421" w:rsidRDefault="00B5263E" w:rsidP="00E80D26">
            <w:pPr>
              <w:rPr>
                <w:rFonts w:cs="Times New Roman"/>
                <w:sz w:val="20"/>
                <w:szCs w:val="20"/>
              </w:rPr>
            </w:pPr>
            <w:r w:rsidRPr="002A2421">
              <w:rPr>
                <w:rFonts w:cs="Times New Roman"/>
                <w:sz w:val="20"/>
                <w:szCs w:val="20"/>
              </w:rPr>
              <w:t>84</w:t>
            </w:r>
          </w:p>
        </w:tc>
        <w:tc>
          <w:tcPr>
            <w:tcW w:w="833" w:type="dxa"/>
          </w:tcPr>
          <w:p w14:paraId="599B7330" w14:textId="77777777" w:rsidR="00B5263E" w:rsidRPr="002A2421" w:rsidRDefault="00B5263E" w:rsidP="00E80D26">
            <w:pPr>
              <w:rPr>
                <w:rFonts w:cs="Times New Roman"/>
                <w:sz w:val="20"/>
                <w:szCs w:val="20"/>
              </w:rPr>
            </w:pPr>
            <w:r w:rsidRPr="002A2421">
              <w:rPr>
                <w:rFonts w:cs="Times New Roman"/>
                <w:sz w:val="20"/>
                <w:szCs w:val="20"/>
              </w:rPr>
              <w:t>84</w:t>
            </w:r>
          </w:p>
        </w:tc>
        <w:tc>
          <w:tcPr>
            <w:tcW w:w="833" w:type="dxa"/>
          </w:tcPr>
          <w:p w14:paraId="3B9ECC82" w14:textId="77777777" w:rsidR="00B5263E" w:rsidRPr="002A2421" w:rsidRDefault="00B5263E" w:rsidP="00E80D26">
            <w:pPr>
              <w:rPr>
                <w:rFonts w:cs="Times New Roman"/>
                <w:sz w:val="20"/>
                <w:szCs w:val="20"/>
              </w:rPr>
            </w:pPr>
            <w:r w:rsidRPr="002A2421">
              <w:rPr>
                <w:rFonts w:cs="Times New Roman"/>
                <w:sz w:val="20"/>
                <w:szCs w:val="20"/>
              </w:rPr>
              <w:t>85</w:t>
            </w:r>
          </w:p>
        </w:tc>
        <w:tc>
          <w:tcPr>
            <w:tcW w:w="833" w:type="dxa"/>
          </w:tcPr>
          <w:p w14:paraId="561877CF" w14:textId="77777777" w:rsidR="00B5263E" w:rsidRPr="002A2421" w:rsidRDefault="00B5263E" w:rsidP="00E80D26">
            <w:pPr>
              <w:rPr>
                <w:rFonts w:cs="Times New Roman"/>
                <w:sz w:val="20"/>
                <w:szCs w:val="20"/>
              </w:rPr>
            </w:pPr>
            <w:r w:rsidRPr="002A2421">
              <w:rPr>
                <w:rFonts w:cs="Times New Roman"/>
                <w:sz w:val="20"/>
                <w:szCs w:val="20"/>
              </w:rPr>
              <w:t>90</w:t>
            </w:r>
          </w:p>
        </w:tc>
        <w:tc>
          <w:tcPr>
            <w:tcW w:w="730" w:type="dxa"/>
          </w:tcPr>
          <w:p w14:paraId="03B91F36" w14:textId="77777777" w:rsidR="00B5263E" w:rsidRPr="002A2421" w:rsidRDefault="00B5263E" w:rsidP="00E80D26">
            <w:pPr>
              <w:rPr>
                <w:rFonts w:cs="Times New Roman"/>
                <w:sz w:val="20"/>
                <w:szCs w:val="20"/>
              </w:rPr>
            </w:pPr>
            <w:r w:rsidRPr="002A2421">
              <w:rPr>
                <w:rFonts w:cs="Times New Roman"/>
                <w:sz w:val="20"/>
                <w:szCs w:val="20"/>
              </w:rPr>
              <w:t>83</w:t>
            </w:r>
          </w:p>
        </w:tc>
        <w:tc>
          <w:tcPr>
            <w:tcW w:w="833" w:type="dxa"/>
          </w:tcPr>
          <w:p w14:paraId="6FEF1A61" w14:textId="77777777" w:rsidR="00B5263E" w:rsidRPr="002A2421" w:rsidRDefault="00B5263E" w:rsidP="00E80D26">
            <w:pPr>
              <w:rPr>
                <w:rFonts w:cs="Times New Roman"/>
                <w:sz w:val="20"/>
                <w:szCs w:val="20"/>
              </w:rPr>
            </w:pPr>
            <w:r w:rsidRPr="002A2421">
              <w:rPr>
                <w:rFonts w:cs="Times New Roman"/>
                <w:sz w:val="20"/>
                <w:szCs w:val="20"/>
              </w:rPr>
              <w:t>85</w:t>
            </w:r>
          </w:p>
        </w:tc>
        <w:tc>
          <w:tcPr>
            <w:tcW w:w="833" w:type="dxa"/>
          </w:tcPr>
          <w:p w14:paraId="42D3EB2E" w14:textId="77777777" w:rsidR="00B5263E" w:rsidRPr="002A2421" w:rsidRDefault="00B5263E" w:rsidP="00E80D26">
            <w:pPr>
              <w:rPr>
                <w:rFonts w:cs="Times New Roman"/>
                <w:sz w:val="20"/>
                <w:szCs w:val="20"/>
              </w:rPr>
            </w:pPr>
            <w:r w:rsidRPr="002A2421">
              <w:rPr>
                <w:rFonts w:cs="Times New Roman"/>
                <w:sz w:val="20"/>
                <w:szCs w:val="20"/>
              </w:rPr>
              <w:t>90</w:t>
            </w:r>
          </w:p>
        </w:tc>
        <w:tc>
          <w:tcPr>
            <w:tcW w:w="833" w:type="dxa"/>
          </w:tcPr>
          <w:p w14:paraId="56F22BEF" w14:textId="77777777" w:rsidR="00B5263E" w:rsidRPr="002A2421" w:rsidRDefault="00B5263E" w:rsidP="00E80D26">
            <w:pPr>
              <w:rPr>
                <w:rFonts w:cs="Times New Roman"/>
                <w:sz w:val="20"/>
                <w:szCs w:val="20"/>
              </w:rPr>
            </w:pPr>
            <w:r w:rsidRPr="002A2421">
              <w:rPr>
                <w:rFonts w:cs="Times New Roman"/>
                <w:sz w:val="20"/>
                <w:szCs w:val="20"/>
              </w:rPr>
              <w:t>85</w:t>
            </w:r>
          </w:p>
        </w:tc>
        <w:tc>
          <w:tcPr>
            <w:tcW w:w="833" w:type="dxa"/>
          </w:tcPr>
          <w:p w14:paraId="238C6311" w14:textId="77777777" w:rsidR="00B5263E" w:rsidRPr="002A2421" w:rsidRDefault="00B5263E" w:rsidP="00E80D26">
            <w:pPr>
              <w:rPr>
                <w:rFonts w:cs="Times New Roman"/>
                <w:sz w:val="20"/>
                <w:szCs w:val="20"/>
              </w:rPr>
            </w:pPr>
            <w:r w:rsidRPr="002A2421">
              <w:rPr>
                <w:rFonts w:cs="Times New Roman"/>
                <w:sz w:val="20"/>
                <w:szCs w:val="20"/>
              </w:rPr>
              <w:t>90</w:t>
            </w:r>
          </w:p>
        </w:tc>
      </w:tr>
      <w:tr w:rsidR="00B5263E" w:rsidRPr="002A2421" w14:paraId="759B5898" w14:textId="77777777" w:rsidTr="00E80D26">
        <w:tc>
          <w:tcPr>
            <w:tcW w:w="1124" w:type="dxa"/>
          </w:tcPr>
          <w:p w14:paraId="20711E4A" w14:textId="77777777" w:rsidR="00B5263E" w:rsidRPr="002A2421" w:rsidRDefault="00B5263E" w:rsidP="00E80D26">
            <w:pPr>
              <w:rPr>
                <w:rFonts w:cs="Times New Roman"/>
                <w:sz w:val="20"/>
                <w:szCs w:val="20"/>
              </w:rPr>
            </w:pPr>
            <w:r w:rsidRPr="002A2421">
              <w:rPr>
                <w:rFonts w:cs="Times New Roman"/>
                <w:sz w:val="20"/>
                <w:szCs w:val="20"/>
              </w:rPr>
              <w:t>QM real</w:t>
            </w:r>
          </w:p>
        </w:tc>
        <w:tc>
          <w:tcPr>
            <w:tcW w:w="832" w:type="dxa"/>
          </w:tcPr>
          <w:p w14:paraId="2EA3B0A9" w14:textId="77777777" w:rsidR="00B5263E" w:rsidRPr="002A2421" w:rsidRDefault="00B5263E" w:rsidP="00E80D26">
            <w:pPr>
              <w:rPr>
                <w:rFonts w:cs="Times New Roman"/>
                <w:sz w:val="20"/>
                <w:szCs w:val="20"/>
              </w:rPr>
            </w:pPr>
            <w:r w:rsidRPr="002A2421">
              <w:rPr>
                <w:rFonts w:cs="Times New Roman"/>
                <w:sz w:val="20"/>
                <w:szCs w:val="20"/>
              </w:rPr>
              <w:t>0.55%</w:t>
            </w:r>
          </w:p>
        </w:tc>
        <w:tc>
          <w:tcPr>
            <w:tcW w:w="833" w:type="dxa"/>
          </w:tcPr>
          <w:p w14:paraId="58BD0A93" w14:textId="77777777" w:rsidR="00B5263E" w:rsidRPr="002A2421" w:rsidRDefault="00B5263E" w:rsidP="00E80D26">
            <w:pPr>
              <w:rPr>
                <w:rFonts w:cs="Times New Roman"/>
                <w:sz w:val="20"/>
                <w:szCs w:val="20"/>
              </w:rPr>
            </w:pPr>
            <w:r w:rsidRPr="002A2421">
              <w:rPr>
                <w:rFonts w:cs="Times New Roman"/>
                <w:sz w:val="20"/>
                <w:szCs w:val="20"/>
              </w:rPr>
              <w:t>0.56%</w:t>
            </w:r>
          </w:p>
        </w:tc>
        <w:tc>
          <w:tcPr>
            <w:tcW w:w="833" w:type="dxa"/>
          </w:tcPr>
          <w:p w14:paraId="674B98AB" w14:textId="77777777" w:rsidR="00B5263E" w:rsidRPr="002A2421" w:rsidRDefault="00B5263E" w:rsidP="00E80D26">
            <w:pPr>
              <w:rPr>
                <w:rFonts w:cs="Times New Roman"/>
                <w:sz w:val="20"/>
                <w:szCs w:val="20"/>
              </w:rPr>
            </w:pPr>
            <w:r w:rsidRPr="002A2421">
              <w:rPr>
                <w:rFonts w:cs="Times New Roman"/>
                <w:sz w:val="20"/>
                <w:szCs w:val="20"/>
              </w:rPr>
              <w:t>0.54%</w:t>
            </w:r>
          </w:p>
        </w:tc>
        <w:tc>
          <w:tcPr>
            <w:tcW w:w="833" w:type="dxa"/>
          </w:tcPr>
          <w:p w14:paraId="5A2CCE35" w14:textId="77777777" w:rsidR="00B5263E" w:rsidRPr="002A2421" w:rsidRDefault="00B5263E" w:rsidP="00E80D26">
            <w:pPr>
              <w:rPr>
                <w:rFonts w:cs="Times New Roman"/>
                <w:sz w:val="20"/>
                <w:szCs w:val="20"/>
              </w:rPr>
            </w:pPr>
            <w:r w:rsidRPr="002A2421">
              <w:rPr>
                <w:rFonts w:cs="Times New Roman"/>
                <w:sz w:val="20"/>
                <w:szCs w:val="20"/>
              </w:rPr>
              <w:t>0.46%</w:t>
            </w:r>
          </w:p>
        </w:tc>
        <w:tc>
          <w:tcPr>
            <w:tcW w:w="833" w:type="dxa"/>
          </w:tcPr>
          <w:p w14:paraId="03EFAB4A" w14:textId="77777777" w:rsidR="00B5263E" w:rsidRPr="002A2421" w:rsidRDefault="00B5263E" w:rsidP="00E80D26">
            <w:pPr>
              <w:rPr>
                <w:rFonts w:cs="Times New Roman"/>
                <w:sz w:val="20"/>
                <w:szCs w:val="20"/>
              </w:rPr>
            </w:pPr>
            <w:r w:rsidRPr="002A2421">
              <w:rPr>
                <w:rFonts w:cs="Times New Roman"/>
                <w:sz w:val="20"/>
                <w:szCs w:val="20"/>
              </w:rPr>
              <w:t>0.58%</w:t>
            </w:r>
          </w:p>
        </w:tc>
        <w:tc>
          <w:tcPr>
            <w:tcW w:w="730" w:type="dxa"/>
          </w:tcPr>
          <w:p w14:paraId="1C8AD5CE" w14:textId="77777777" w:rsidR="00B5263E" w:rsidRPr="002A2421" w:rsidRDefault="00B5263E" w:rsidP="00E80D26">
            <w:pPr>
              <w:rPr>
                <w:rFonts w:cs="Times New Roman"/>
                <w:sz w:val="20"/>
                <w:szCs w:val="20"/>
              </w:rPr>
            </w:pPr>
            <w:r w:rsidRPr="002A2421">
              <w:rPr>
                <w:rFonts w:cs="Times New Roman"/>
                <w:sz w:val="20"/>
                <w:szCs w:val="20"/>
              </w:rPr>
              <w:t>1.8%</w:t>
            </w:r>
          </w:p>
        </w:tc>
        <w:tc>
          <w:tcPr>
            <w:tcW w:w="833" w:type="dxa"/>
          </w:tcPr>
          <w:p w14:paraId="153901DA" w14:textId="77777777" w:rsidR="00B5263E" w:rsidRPr="002A2421" w:rsidRDefault="00B5263E" w:rsidP="00E80D26">
            <w:pPr>
              <w:rPr>
                <w:rFonts w:cs="Times New Roman"/>
                <w:sz w:val="20"/>
                <w:szCs w:val="20"/>
              </w:rPr>
            </w:pPr>
            <w:r w:rsidRPr="002A2421">
              <w:rPr>
                <w:rFonts w:cs="Times New Roman"/>
                <w:sz w:val="20"/>
                <w:szCs w:val="20"/>
              </w:rPr>
              <w:t>2.0%</w:t>
            </w:r>
          </w:p>
        </w:tc>
        <w:tc>
          <w:tcPr>
            <w:tcW w:w="833" w:type="dxa"/>
          </w:tcPr>
          <w:p w14:paraId="4708BCA5" w14:textId="77777777" w:rsidR="00B5263E" w:rsidRPr="002A2421" w:rsidRDefault="00B5263E" w:rsidP="00E80D26">
            <w:pPr>
              <w:rPr>
                <w:rFonts w:cs="Times New Roman"/>
                <w:sz w:val="20"/>
                <w:szCs w:val="20"/>
              </w:rPr>
            </w:pPr>
            <w:r w:rsidRPr="002A2421">
              <w:rPr>
                <w:rFonts w:cs="Times New Roman"/>
                <w:sz w:val="20"/>
                <w:szCs w:val="20"/>
              </w:rPr>
              <w:t>1.5%</w:t>
            </w:r>
          </w:p>
        </w:tc>
        <w:tc>
          <w:tcPr>
            <w:tcW w:w="833" w:type="dxa"/>
          </w:tcPr>
          <w:p w14:paraId="3539E57A" w14:textId="77777777" w:rsidR="00B5263E" w:rsidRPr="002A2421" w:rsidRDefault="00B5263E" w:rsidP="00E80D26">
            <w:pPr>
              <w:rPr>
                <w:rFonts w:cs="Times New Roman"/>
                <w:sz w:val="20"/>
                <w:szCs w:val="20"/>
              </w:rPr>
            </w:pPr>
            <w:r w:rsidRPr="002A2421">
              <w:rPr>
                <w:rFonts w:cs="Times New Roman"/>
                <w:sz w:val="20"/>
                <w:szCs w:val="20"/>
              </w:rPr>
              <w:t>1.9%</w:t>
            </w:r>
          </w:p>
        </w:tc>
        <w:tc>
          <w:tcPr>
            <w:tcW w:w="833" w:type="dxa"/>
          </w:tcPr>
          <w:p w14:paraId="09254381" w14:textId="77777777" w:rsidR="00B5263E" w:rsidRPr="002A2421" w:rsidRDefault="00B5263E" w:rsidP="00E80D26">
            <w:pPr>
              <w:rPr>
                <w:rFonts w:cs="Times New Roman"/>
                <w:sz w:val="20"/>
                <w:szCs w:val="20"/>
              </w:rPr>
            </w:pPr>
            <w:r w:rsidRPr="002A2421">
              <w:rPr>
                <w:rFonts w:cs="Times New Roman"/>
                <w:sz w:val="20"/>
                <w:szCs w:val="20"/>
              </w:rPr>
              <w:t>1.8%</w:t>
            </w:r>
          </w:p>
        </w:tc>
      </w:tr>
      <w:tr w:rsidR="00B5263E" w:rsidRPr="002A2421" w14:paraId="03AAA381" w14:textId="77777777" w:rsidTr="00E80D26">
        <w:tc>
          <w:tcPr>
            <w:tcW w:w="1124" w:type="dxa"/>
          </w:tcPr>
          <w:p w14:paraId="63A2A9EA" w14:textId="77777777" w:rsidR="00B5263E" w:rsidRPr="002A2421" w:rsidRDefault="00B5263E" w:rsidP="00E80D26">
            <w:pPr>
              <w:rPr>
                <w:rFonts w:cs="Times New Roman"/>
                <w:sz w:val="20"/>
                <w:szCs w:val="20"/>
              </w:rPr>
            </w:pPr>
            <w:r w:rsidRPr="002A2421">
              <w:rPr>
                <w:rFonts w:cs="Times New Roman"/>
                <w:sz w:val="20"/>
                <w:szCs w:val="20"/>
              </w:rPr>
              <w:t>transform</w:t>
            </w:r>
          </w:p>
        </w:tc>
        <w:tc>
          <w:tcPr>
            <w:tcW w:w="832" w:type="dxa"/>
          </w:tcPr>
          <w:p w14:paraId="725D6905" w14:textId="77777777" w:rsidR="00B5263E" w:rsidRPr="002A2421" w:rsidRDefault="00B5263E" w:rsidP="00E80D26">
            <w:pPr>
              <w:rPr>
                <w:rFonts w:cs="Times New Roman"/>
                <w:sz w:val="20"/>
                <w:szCs w:val="20"/>
              </w:rPr>
            </w:pPr>
            <w:r w:rsidRPr="002A2421">
              <w:rPr>
                <w:rFonts w:cs="Times New Roman"/>
                <w:sz w:val="20"/>
                <w:szCs w:val="20"/>
              </w:rPr>
              <w:t>0.89%</w:t>
            </w:r>
          </w:p>
        </w:tc>
        <w:tc>
          <w:tcPr>
            <w:tcW w:w="833" w:type="dxa"/>
          </w:tcPr>
          <w:p w14:paraId="0492DE0E" w14:textId="77777777" w:rsidR="00B5263E" w:rsidRPr="002A2421" w:rsidRDefault="00B5263E" w:rsidP="00E80D26">
            <w:pPr>
              <w:rPr>
                <w:rFonts w:cs="Times New Roman"/>
                <w:sz w:val="20"/>
                <w:szCs w:val="20"/>
              </w:rPr>
            </w:pPr>
            <w:r w:rsidRPr="002A2421">
              <w:rPr>
                <w:rFonts w:cs="Times New Roman"/>
                <w:sz w:val="20"/>
                <w:szCs w:val="20"/>
              </w:rPr>
              <w:t>0.78%</w:t>
            </w:r>
          </w:p>
        </w:tc>
        <w:tc>
          <w:tcPr>
            <w:tcW w:w="833" w:type="dxa"/>
          </w:tcPr>
          <w:p w14:paraId="115D6EAB" w14:textId="77777777" w:rsidR="00B5263E" w:rsidRPr="002A2421" w:rsidRDefault="00B5263E" w:rsidP="00E80D26">
            <w:pPr>
              <w:rPr>
                <w:rFonts w:cs="Times New Roman"/>
                <w:sz w:val="20"/>
                <w:szCs w:val="20"/>
              </w:rPr>
            </w:pPr>
            <w:r w:rsidRPr="002A2421">
              <w:rPr>
                <w:rFonts w:cs="Times New Roman"/>
                <w:sz w:val="20"/>
                <w:szCs w:val="20"/>
              </w:rPr>
              <w:t>0.49%</w:t>
            </w:r>
          </w:p>
        </w:tc>
        <w:tc>
          <w:tcPr>
            <w:tcW w:w="833" w:type="dxa"/>
          </w:tcPr>
          <w:p w14:paraId="486B56B6" w14:textId="77777777" w:rsidR="00B5263E" w:rsidRPr="002A2421" w:rsidRDefault="00B5263E" w:rsidP="00E80D26">
            <w:pPr>
              <w:rPr>
                <w:rFonts w:cs="Times New Roman"/>
                <w:sz w:val="20"/>
                <w:szCs w:val="20"/>
              </w:rPr>
            </w:pPr>
            <w:r w:rsidRPr="002A2421">
              <w:rPr>
                <w:rFonts w:cs="Times New Roman"/>
                <w:sz w:val="20"/>
                <w:szCs w:val="20"/>
              </w:rPr>
              <w:t>0.64%</w:t>
            </w:r>
          </w:p>
        </w:tc>
        <w:tc>
          <w:tcPr>
            <w:tcW w:w="833" w:type="dxa"/>
          </w:tcPr>
          <w:p w14:paraId="58EA4D9F" w14:textId="77777777" w:rsidR="00B5263E" w:rsidRPr="002A2421" w:rsidRDefault="00B5263E" w:rsidP="00E80D26">
            <w:pPr>
              <w:rPr>
                <w:rFonts w:cs="Times New Roman"/>
                <w:sz w:val="20"/>
                <w:szCs w:val="20"/>
              </w:rPr>
            </w:pPr>
            <w:r w:rsidRPr="002A2421">
              <w:rPr>
                <w:rFonts w:cs="Times New Roman"/>
                <w:sz w:val="20"/>
                <w:szCs w:val="20"/>
              </w:rPr>
              <w:t>0.80%</w:t>
            </w:r>
          </w:p>
        </w:tc>
        <w:tc>
          <w:tcPr>
            <w:tcW w:w="730" w:type="dxa"/>
          </w:tcPr>
          <w:p w14:paraId="2FB0ADDF" w14:textId="77777777" w:rsidR="00B5263E" w:rsidRPr="002A2421" w:rsidRDefault="00B5263E" w:rsidP="00E80D26">
            <w:pPr>
              <w:rPr>
                <w:rFonts w:cs="Times New Roman"/>
                <w:sz w:val="20"/>
                <w:szCs w:val="20"/>
              </w:rPr>
            </w:pPr>
            <w:r w:rsidRPr="002A2421">
              <w:rPr>
                <w:rFonts w:cs="Times New Roman"/>
                <w:sz w:val="20"/>
                <w:szCs w:val="20"/>
              </w:rPr>
              <w:t>1.7%</w:t>
            </w:r>
          </w:p>
        </w:tc>
        <w:tc>
          <w:tcPr>
            <w:tcW w:w="833" w:type="dxa"/>
          </w:tcPr>
          <w:p w14:paraId="280B0713" w14:textId="77777777" w:rsidR="00B5263E" w:rsidRPr="002A2421" w:rsidRDefault="00B5263E" w:rsidP="00E80D26">
            <w:pPr>
              <w:rPr>
                <w:rFonts w:cs="Times New Roman"/>
                <w:sz w:val="20"/>
                <w:szCs w:val="20"/>
              </w:rPr>
            </w:pPr>
            <w:r w:rsidRPr="002A2421">
              <w:rPr>
                <w:rFonts w:cs="Times New Roman"/>
                <w:sz w:val="20"/>
                <w:szCs w:val="20"/>
              </w:rPr>
              <w:t>0.40%</w:t>
            </w:r>
          </w:p>
        </w:tc>
        <w:tc>
          <w:tcPr>
            <w:tcW w:w="833" w:type="dxa"/>
          </w:tcPr>
          <w:p w14:paraId="4A1B2D2F" w14:textId="77777777" w:rsidR="00B5263E" w:rsidRPr="002A2421" w:rsidRDefault="00B5263E" w:rsidP="00E80D26">
            <w:pPr>
              <w:rPr>
                <w:rFonts w:cs="Times New Roman"/>
                <w:sz w:val="20"/>
                <w:szCs w:val="20"/>
              </w:rPr>
            </w:pPr>
            <w:r w:rsidRPr="002A2421">
              <w:rPr>
                <w:rFonts w:cs="Times New Roman"/>
                <w:sz w:val="20"/>
                <w:szCs w:val="20"/>
              </w:rPr>
              <w:t>0.31%</w:t>
            </w:r>
          </w:p>
        </w:tc>
        <w:tc>
          <w:tcPr>
            <w:tcW w:w="833" w:type="dxa"/>
          </w:tcPr>
          <w:p w14:paraId="0FA13048" w14:textId="77777777" w:rsidR="00B5263E" w:rsidRPr="002A2421" w:rsidRDefault="00B5263E" w:rsidP="00E80D26">
            <w:pPr>
              <w:rPr>
                <w:rFonts w:cs="Times New Roman"/>
                <w:sz w:val="20"/>
                <w:szCs w:val="20"/>
              </w:rPr>
            </w:pPr>
            <w:r w:rsidRPr="002A2421">
              <w:rPr>
                <w:rFonts w:cs="Times New Roman"/>
                <w:sz w:val="20"/>
                <w:szCs w:val="20"/>
              </w:rPr>
              <w:t>0.48%</w:t>
            </w:r>
          </w:p>
        </w:tc>
        <w:tc>
          <w:tcPr>
            <w:tcW w:w="833" w:type="dxa"/>
          </w:tcPr>
          <w:p w14:paraId="35C5E338" w14:textId="77777777" w:rsidR="00B5263E" w:rsidRPr="002A2421" w:rsidRDefault="00B5263E" w:rsidP="00E80D26">
            <w:pPr>
              <w:rPr>
                <w:rFonts w:cs="Times New Roman"/>
                <w:sz w:val="20"/>
                <w:szCs w:val="20"/>
              </w:rPr>
            </w:pPr>
            <w:r w:rsidRPr="002A2421">
              <w:rPr>
                <w:rFonts w:cs="Times New Roman"/>
                <w:sz w:val="20"/>
                <w:szCs w:val="20"/>
              </w:rPr>
              <w:t>0.42%</w:t>
            </w:r>
          </w:p>
        </w:tc>
      </w:tr>
      <w:tr w:rsidR="00B5263E" w:rsidRPr="002A2421" w14:paraId="585B66DD" w14:textId="77777777" w:rsidTr="00E80D26">
        <w:tc>
          <w:tcPr>
            <w:tcW w:w="1124" w:type="dxa"/>
          </w:tcPr>
          <w:p w14:paraId="444F3C44" w14:textId="77777777" w:rsidR="00B5263E" w:rsidRPr="002A2421" w:rsidRDefault="00B5263E" w:rsidP="00E80D26">
            <w:pPr>
              <w:rPr>
                <w:rFonts w:cs="Times New Roman"/>
                <w:sz w:val="20"/>
                <w:szCs w:val="20"/>
              </w:rPr>
            </w:pPr>
            <w:r w:rsidRPr="002A2421">
              <w:rPr>
                <w:rFonts w:cs="Times New Roman"/>
                <w:sz w:val="20"/>
                <w:szCs w:val="20"/>
              </w:rPr>
              <w:lastRenderedPageBreak/>
              <w:t>BET real</w:t>
            </w:r>
          </w:p>
        </w:tc>
        <w:tc>
          <w:tcPr>
            <w:tcW w:w="832" w:type="dxa"/>
          </w:tcPr>
          <w:p w14:paraId="2EC7E395" w14:textId="77777777" w:rsidR="00B5263E" w:rsidRPr="002A2421" w:rsidRDefault="00B5263E" w:rsidP="00E80D26">
            <w:pPr>
              <w:rPr>
                <w:rFonts w:cs="Times New Roman"/>
                <w:sz w:val="20"/>
                <w:szCs w:val="20"/>
              </w:rPr>
            </w:pPr>
            <w:r w:rsidRPr="002A2421">
              <w:rPr>
                <w:rFonts w:cs="Times New Roman"/>
                <w:sz w:val="20"/>
                <w:szCs w:val="20"/>
              </w:rPr>
              <w:t>86%</w:t>
            </w:r>
          </w:p>
        </w:tc>
        <w:tc>
          <w:tcPr>
            <w:tcW w:w="833" w:type="dxa"/>
          </w:tcPr>
          <w:p w14:paraId="45728DAA" w14:textId="77777777" w:rsidR="00B5263E" w:rsidRPr="002A2421" w:rsidRDefault="00B5263E" w:rsidP="00E80D26">
            <w:pPr>
              <w:rPr>
                <w:rFonts w:cs="Times New Roman"/>
                <w:sz w:val="20"/>
                <w:szCs w:val="20"/>
              </w:rPr>
            </w:pPr>
            <w:r w:rsidRPr="002A2421">
              <w:rPr>
                <w:rFonts w:cs="Times New Roman"/>
                <w:sz w:val="20"/>
                <w:szCs w:val="20"/>
              </w:rPr>
              <w:t>68%</w:t>
            </w:r>
          </w:p>
        </w:tc>
        <w:tc>
          <w:tcPr>
            <w:tcW w:w="833" w:type="dxa"/>
          </w:tcPr>
          <w:p w14:paraId="56B197FC" w14:textId="77777777" w:rsidR="00B5263E" w:rsidRPr="002A2421" w:rsidRDefault="00B5263E" w:rsidP="00E80D26">
            <w:pPr>
              <w:rPr>
                <w:rFonts w:cs="Times New Roman"/>
                <w:sz w:val="20"/>
                <w:szCs w:val="20"/>
              </w:rPr>
            </w:pPr>
            <w:r w:rsidRPr="002A2421">
              <w:rPr>
                <w:rFonts w:cs="Times New Roman"/>
                <w:sz w:val="20"/>
                <w:szCs w:val="20"/>
              </w:rPr>
              <w:t>37%</w:t>
            </w:r>
          </w:p>
        </w:tc>
        <w:tc>
          <w:tcPr>
            <w:tcW w:w="833" w:type="dxa"/>
          </w:tcPr>
          <w:p w14:paraId="76208798" w14:textId="77777777" w:rsidR="00B5263E" w:rsidRPr="002A2421" w:rsidRDefault="00B5263E" w:rsidP="00E80D26">
            <w:pPr>
              <w:rPr>
                <w:rFonts w:cs="Times New Roman"/>
                <w:sz w:val="20"/>
                <w:szCs w:val="20"/>
              </w:rPr>
            </w:pPr>
            <w:r w:rsidRPr="002A2421">
              <w:rPr>
                <w:rFonts w:cs="Times New Roman"/>
                <w:sz w:val="20"/>
                <w:szCs w:val="20"/>
              </w:rPr>
              <w:t>36%</w:t>
            </w:r>
          </w:p>
        </w:tc>
        <w:tc>
          <w:tcPr>
            <w:tcW w:w="833" w:type="dxa"/>
          </w:tcPr>
          <w:p w14:paraId="58FEC562" w14:textId="77777777" w:rsidR="00B5263E" w:rsidRPr="002A2421" w:rsidRDefault="00B5263E" w:rsidP="00E80D26">
            <w:pPr>
              <w:rPr>
                <w:rFonts w:cs="Times New Roman"/>
                <w:sz w:val="20"/>
                <w:szCs w:val="20"/>
              </w:rPr>
            </w:pPr>
            <w:r w:rsidRPr="002A2421">
              <w:rPr>
                <w:rFonts w:cs="Times New Roman"/>
                <w:sz w:val="20"/>
                <w:szCs w:val="20"/>
              </w:rPr>
              <w:t>40%</w:t>
            </w:r>
          </w:p>
        </w:tc>
        <w:tc>
          <w:tcPr>
            <w:tcW w:w="730" w:type="dxa"/>
          </w:tcPr>
          <w:p w14:paraId="40E7217C" w14:textId="77777777" w:rsidR="00B5263E" w:rsidRPr="002A2421" w:rsidRDefault="00B5263E" w:rsidP="00E80D26">
            <w:pPr>
              <w:rPr>
                <w:rFonts w:cs="Times New Roman"/>
                <w:sz w:val="20"/>
                <w:szCs w:val="20"/>
              </w:rPr>
            </w:pPr>
            <w:r w:rsidRPr="002A2421">
              <w:rPr>
                <w:rFonts w:cs="Times New Roman"/>
                <w:sz w:val="20"/>
                <w:szCs w:val="20"/>
              </w:rPr>
              <w:t>13%</w:t>
            </w:r>
          </w:p>
        </w:tc>
        <w:tc>
          <w:tcPr>
            <w:tcW w:w="833" w:type="dxa"/>
          </w:tcPr>
          <w:p w14:paraId="7DFC6690" w14:textId="77777777" w:rsidR="00B5263E" w:rsidRPr="002A2421" w:rsidRDefault="00B5263E" w:rsidP="00E80D26">
            <w:pPr>
              <w:rPr>
                <w:rFonts w:cs="Times New Roman"/>
                <w:sz w:val="20"/>
                <w:szCs w:val="20"/>
              </w:rPr>
            </w:pPr>
            <w:r w:rsidRPr="002A2421">
              <w:rPr>
                <w:rFonts w:cs="Times New Roman"/>
                <w:sz w:val="20"/>
                <w:szCs w:val="20"/>
              </w:rPr>
              <w:t>16%</w:t>
            </w:r>
          </w:p>
        </w:tc>
        <w:tc>
          <w:tcPr>
            <w:tcW w:w="833" w:type="dxa"/>
          </w:tcPr>
          <w:p w14:paraId="56F79E51" w14:textId="77777777" w:rsidR="00B5263E" w:rsidRPr="002A2421" w:rsidRDefault="00B5263E" w:rsidP="00E80D26">
            <w:pPr>
              <w:rPr>
                <w:rFonts w:cs="Times New Roman"/>
                <w:sz w:val="20"/>
                <w:szCs w:val="20"/>
              </w:rPr>
            </w:pPr>
            <w:r w:rsidRPr="002A2421">
              <w:rPr>
                <w:rFonts w:cs="Times New Roman"/>
                <w:sz w:val="20"/>
                <w:szCs w:val="20"/>
              </w:rPr>
              <w:t>22%</w:t>
            </w:r>
          </w:p>
        </w:tc>
        <w:tc>
          <w:tcPr>
            <w:tcW w:w="833" w:type="dxa"/>
          </w:tcPr>
          <w:p w14:paraId="74817AF0" w14:textId="77777777" w:rsidR="00B5263E" w:rsidRPr="002A2421" w:rsidRDefault="00B5263E" w:rsidP="00E80D26">
            <w:pPr>
              <w:rPr>
                <w:rFonts w:cs="Times New Roman"/>
                <w:sz w:val="20"/>
                <w:szCs w:val="20"/>
              </w:rPr>
            </w:pPr>
            <w:r w:rsidRPr="002A2421">
              <w:rPr>
                <w:rFonts w:cs="Times New Roman"/>
                <w:sz w:val="20"/>
                <w:szCs w:val="20"/>
              </w:rPr>
              <w:t>10%</w:t>
            </w:r>
          </w:p>
        </w:tc>
        <w:tc>
          <w:tcPr>
            <w:tcW w:w="833" w:type="dxa"/>
          </w:tcPr>
          <w:p w14:paraId="26565083" w14:textId="77777777" w:rsidR="00B5263E" w:rsidRPr="002A2421" w:rsidRDefault="00B5263E" w:rsidP="00E80D26">
            <w:pPr>
              <w:rPr>
                <w:rFonts w:cs="Times New Roman"/>
                <w:sz w:val="20"/>
                <w:szCs w:val="20"/>
              </w:rPr>
            </w:pPr>
            <w:r w:rsidRPr="002A2421">
              <w:rPr>
                <w:rFonts w:cs="Times New Roman"/>
                <w:sz w:val="20"/>
                <w:szCs w:val="20"/>
              </w:rPr>
              <w:t>16%</w:t>
            </w:r>
          </w:p>
        </w:tc>
      </w:tr>
    </w:tbl>
    <w:p w14:paraId="45860BBE" w14:textId="66B4F5AE" w:rsidR="00B5263E" w:rsidRPr="00DE4967" w:rsidRDefault="00B5263E" w:rsidP="00B5263E">
      <w:pPr>
        <w:rPr>
          <w:rFonts w:cs="Times New Roman"/>
          <w:i/>
          <w:iCs/>
        </w:rPr>
      </w:pPr>
      <w:r w:rsidRPr="00DE4967">
        <w:rPr>
          <w:rFonts w:cs="Times New Roman"/>
          <w:iCs/>
        </w:rPr>
        <w:t>Notice</w:t>
      </w:r>
      <w:r>
        <w:rPr>
          <w:rFonts w:cs="Times New Roman"/>
          <w:iCs/>
        </w:rPr>
        <w:t xml:space="preserve"> that the transform fit seems to be very good for the BET.  Indeed, it is competitive with the QM calculation.  However, when the answer</w:t>
      </w:r>
      <w:r w:rsidR="00E80D26">
        <w:rPr>
          <w:rFonts w:cs="Times New Roman"/>
          <w:iCs/>
        </w:rPr>
        <w:t>s</w:t>
      </w:r>
      <w:r>
        <w:rPr>
          <w:rFonts w:cs="Times New Roman"/>
          <w:iCs/>
        </w:rPr>
        <w:t xml:space="preserve"> for </w:t>
      </w:r>
      <w:r>
        <w:rPr>
          <w:rFonts w:cs="Times New Roman"/>
        </w:rPr>
        <w:t>n</w:t>
      </w:r>
      <w:r>
        <w:rPr>
          <w:rFonts w:cs="Times New Roman"/>
          <w:iCs/>
          <w:vertAlign w:val="subscript"/>
        </w:rPr>
        <w:t>m</w:t>
      </w:r>
      <w:r>
        <w:rPr>
          <w:rFonts w:cs="Times New Roman"/>
          <w:iCs/>
        </w:rPr>
        <w:t xml:space="preserve"> and the BET constant, </w:t>
      </w:r>
      <w:r>
        <w:rPr>
          <w:rFonts w:cs="Times New Roman"/>
        </w:rPr>
        <w:t>C</w:t>
      </w:r>
      <w:r>
        <w:rPr>
          <w:rFonts w:cs="Times New Roman"/>
          <w:iCs/>
        </w:rPr>
        <w:t xml:space="preserve">, </w:t>
      </w:r>
      <w:r w:rsidR="00E80D26">
        <w:rPr>
          <w:rFonts w:cs="Times New Roman"/>
          <w:iCs/>
        </w:rPr>
        <w:t xml:space="preserve">are </w:t>
      </w:r>
      <w:r>
        <w:rPr>
          <w:rFonts w:cs="Times New Roman"/>
          <w:iCs/>
        </w:rPr>
        <w:t xml:space="preserve">used to calculate the fit to the real data, </w:t>
      </w:r>
      <w:r w:rsidRPr="00E80D26">
        <w:rPr>
          <w:rFonts w:cs="Times New Roman"/>
          <w:i/>
          <w:iCs/>
        </w:rPr>
        <w:t>n</w:t>
      </w:r>
      <w:r>
        <w:rPr>
          <w:rFonts w:cs="Times New Roman"/>
          <w:iCs/>
          <w:vertAlign w:val="subscript"/>
        </w:rPr>
        <w:t>a</w:t>
      </w:r>
      <w:r>
        <w:rPr>
          <w:rFonts w:cs="Times New Roman"/>
          <w:iCs/>
        </w:rPr>
        <w:t xml:space="preserve"> the standard deviation is very high.  In some case the deviation increases by a factor of nearly 100.  Below are two graphs, one for the BET transform and another to calculate the fit to real data.  This example uses the data from the Nitrogen 78 K </w:t>
      </w:r>
      <w:r w:rsidR="00E80D26">
        <w:rPr>
          <w:rFonts w:cs="Times New Roman"/>
          <w:iCs/>
        </w:rPr>
        <w:t xml:space="preserve">physically </w:t>
      </w:r>
      <w:proofErr w:type="gramStart"/>
      <w:r w:rsidR="00E80D26">
        <w:rPr>
          <w:rFonts w:cs="Times New Roman"/>
          <w:iCs/>
        </w:rPr>
        <w:t>adsorbed</w:t>
      </w:r>
      <w:proofErr w:type="gramEnd"/>
      <w:r>
        <w:rPr>
          <w:rFonts w:cs="Times New Roman"/>
          <w:iCs/>
        </w:rPr>
        <w:t xml:space="preserve"> on </w:t>
      </w:r>
      <w:proofErr w:type="spellStart"/>
      <w:r>
        <w:rPr>
          <w:rFonts w:cs="Times New Roman"/>
          <w:iCs/>
        </w:rPr>
        <w:t>KCl</w:t>
      </w:r>
      <w:proofErr w:type="spellEnd"/>
      <w:r>
        <w:rPr>
          <w:rFonts w:cs="Times New Roman"/>
          <w:iCs/>
        </w:rPr>
        <w:t>.  Similar results were obtained for the other data sets.</w:t>
      </w:r>
    </w:p>
    <w:tbl>
      <w:tblPr>
        <w:tblStyle w:val="TableGrid"/>
        <w:tblW w:w="10855" w:type="dxa"/>
        <w:tblLook w:val="04A0" w:firstRow="1" w:lastRow="0" w:firstColumn="1" w:lastColumn="0" w:noHBand="0" w:noVBand="1"/>
      </w:tblPr>
      <w:tblGrid>
        <w:gridCol w:w="5286"/>
        <w:gridCol w:w="5569"/>
      </w:tblGrid>
      <w:tr w:rsidR="00B5263E" w14:paraId="6A4FD96E" w14:textId="77777777" w:rsidTr="00E80D26">
        <w:tc>
          <w:tcPr>
            <w:tcW w:w="5125" w:type="dxa"/>
          </w:tcPr>
          <w:p w14:paraId="427D6199" w14:textId="77777777" w:rsidR="00B5263E" w:rsidRDefault="00B5263E" w:rsidP="00E80D26">
            <w:pPr>
              <w:pStyle w:val="NoSpacing"/>
              <w:rPr>
                <w:iCs/>
              </w:rPr>
            </w:pPr>
            <w:r>
              <w:rPr>
                <w:iCs/>
                <w:noProof/>
              </w:rPr>
              <w:drawing>
                <wp:inline distT="0" distB="0" distL="0" distR="0" wp14:anchorId="3AF873EB" wp14:editId="34F2DA18">
                  <wp:extent cx="3215735" cy="2358862"/>
                  <wp:effectExtent l="0" t="0" r="3810" b="3810"/>
                  <wp:docPr id="282528031" name="Picture 1" descr="A graph of a positive cur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528031" name="Picture 1" descr="A graph of a positive curve&#10;&#10;Description automatically generated with medium confidence"/>
                          <pic:cNvPicPr/>
                        </pic:nvPicPr>
                        <pic:blipFill>
                          <a:blip r:embed="rId36">
                            <a:extLst>
                              <a:ext uri="{28A0092B-C50C-407E-A947-70E740481C1C}">
                                <a14:useLocalDpi xmlns:a14="http://schemas.microsoft.com/office/drawing/2010/main" val="0"/>
                              </a:ext>
                            </a:extLst>
                          </a:blip>
                          <a:stretch>
                            <a:fillRect/>
                          </a:stretch>
                        </pic:blipFill>
                        <pic:spPr>
                          <a:xfrm>
                            <a:off x="0" y="0"/>
                            <a:ext cx="3215735" cy="2358862"/>
                          </a:xfrm>
                          <a:prstGeom prst="rect">
                            <a:avLst/>
                          </a:prstGeom>
                        </pic:spPr>
                      </pic:pic>
                    </a:graphicData>
                  </a:graphic>
                </wp:inline>
              </w:drawing>
            </w:r>
          </w:p>
        </w:tc>
        <w:tc>
          <w:tcPr>
            <w:tcW w:w="5730" w:type="dxa"/>
          </w:tcPr>
          <w:p w14:paraId="5F1601CC" w14:textId="77777777" w:rsidR="00B5263E" w:rsidRDefault="00B5263E" w:rsidP="00E80D26">
            <w:pPr>
              <w:pStyle w:val="NoSpacing"/>
              <w:keepNext/>
              <w:rPr>
                <w:iCs/>
              </w:rPr>
            </w:pPr>
            <w:r>
              <w:rPr>
                <w:iCs/>
                <w:noProof/>
              </w:rPr>
              <w:drawing>
                <wp:inline distT="0" distB="0" distL="0" distR="0" wp14:anchorId="25BC9946" wp14:editId="4F50D27E">
                  <wp:extent cx="2947988" cy="2268314"/>
                  <wp:effectExtent l="0" t="0" r="5080" b="0"/>
                  <wp:docPr id="1007632544" name="Picture 1" descr="A graph with a line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32544" name="Picture 1" descr="A graph with a line and numbers&#10;&#10;Description automatically generated with medium confidenc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015909" cy="2320576"/>
                          </a:xfrm>
                          <a:prstGeom prst="rect">
                            <a:avLst/>
                          </a:prstGeom>
                        </pic:spPr>
                      </pic:pic>
                    </a:graphicData>
                  </a:graphic>
                </wp:inline>
              </w:drawing>
            </w:r>
          </w:p>
        </w:tc>
      </w:tr>
      <w:tr w:rsidR="00B5263E" w14:paraId="26A4BA9D" w14:textId="77777777" w:rsidTr="00E80D26">
        <w:tc>
          <w:tcPr>
            <w:tcW w:w="10855" w:type="dxa"/>
            <w:gridSpan w:val="2"/>
          </w:tcPr>
          <w:p w14:paraId="14554780" w14:textId="77777777" w:rsidR="00B5263E" w:rsidRPr="00C73285" w:rsidRDefault="00B5263E" w:rsidP="00E80D26">
            <w:pPr>
              <w:pStyle w:val="Caption"/>
              <w:rPr>
                <w:i w:val="0"/>
                <w:iCs w:val="0"/>
              </w:rPr>
            </w:pPr>
            <w:r w:rsidRPr="00A14138">
              <w:rPr>
                <w:iCs w:val="0"/>
              </w:rPr>
              <w:t xml:space="preserve">Figure </w:t>
            </w:r>
            <w:r w:rsidRPr="00A14138">
              <w:rPr>
                <w:iCs w:val="0"/>
              </w:rPr>
              <w:fldChar w:fldCharType="begin"/>
            </w:r>
            <w:r w:rsidRPr="00A14138">
              <w:rPr>
                <w:iCs w:val="0"/>
              </w:rPr>
              <w:instrText xml:space="preserve"> SEQ Figure \* ARABIC </w:instrText>
            </w:r>
            <w:r w:rsidRPr="00A14138">
              <w:rPr>
                <w:iCs w:val="0"/>
              </w:rPr>
              <w:fldChar w:fldCharType="separate"/>
            </w:r>
            <w:r w:rsidRPr="00A14138">
              <w:rPr>
                <w:iCs w:val="0"/>
                <w:noProof/>
              </w:rPr>
              <w:t>1</w:t>
            </w:r>
            <w:r w:rsidRPr="00A14138">
              <w:rPr>
                <w:iCs w:val="0"/>
              </w:rPr>
              <w:fldChar w:fldCharType="end"/>
            </w:r>
            <w:r>
              <w:rPr>
                <w:iCs w:val="0"/>
              </w:rPr>
              <w:t xml:space="preserve"> </w:t>
            </w:r>
            <w:r w:rsidRPr="00A14138">
              <w:rPr>
                <w:iCs w:val="0"/>
              </w:rPr>
              <w:t xml:space="preserve">Data points from Keenen and Holmes of nitrogen on </w:t>
            </w:r>
            <w:proofErr w:type="spellStart"/>
            <w:r w:rsidRPr="00A14138">
              <w:rPr>
                <w:iCs w:val="0"/>
              </w:rPr>
              <w:t>KCl</w:t>
            </w:r>
            <w:proofErr w:type="spellEnd"/>
            <w:r w:rsidRPr="00A14138">
              <w:rPr>
                <w:iCs w:val="0"/>
              </w:rPr>
              <w:t xml:space="preserve"> at 78 K.  The </w:t>
            </w:r>
            <w:proofErr w:type="spellStart"/>
            <w:r w:rsidRPr="00A14138">
              <w:rPr>
                <w:iCs w:val="0"/>
              </w:rPr>
              <w:t>Xs</w:t>
            </w:r>
            <w:proofErr w:type="spellEnd"/>
            <w:r w:rsidRPr="00A14138">
              <w:rPr>
                <w:iCs w:val="0"/>
              </w:rPr>
              <w:t xml:space="preserve"> are data points, and the line is the calculation from the BET equation.  </w:t>
            </w:r>
            <w:r>
              <w:rPr>
                <w:iCs w:val="0"/>
              </w:rPr>
              <w:t xml:space="preserve">On the left is the BET transform and on the left is the real physical quantities plotted using the parameters from the transform.  </w:t>
            </w:r>
            <w:r w:rsidRPr="00A14138">
              <w:rPr>
                <w:iCs w:val="0"/>
              </w:rPr>
              <w:t xml:space="preserve">This illustrates that a regression analysis of the BET transform plot </w:t>
            </w:r>
            <w:r>
              <w:rPr>
                <w:iCs w:val="0"/>
              </w:rPr>
              <w:t>is unlikely to</w:t>
            </w:r>
            <w:r w:rsidRPr="00A14138">
              <w:rPr>
                <w:iCs w:val="0"/>
              </w:rPr>
              <w:t xml:space="preserve"> yield a good fit to real isotherm plot.</w:t>
            </w:r>
            <w:r>
              <w:rPr>
                <w:iCs w:val="0"/>
              </w:rPr>
              <w:t xml:space="preserve">  The upturn in the calculation at the beginning of the fit going to </w:t>
            </w:r>
            <w:r>
              <w:rPr>
                <w:rFonts w:ascii="Cambria Math" w:hAnsi="Cambria Math" w:cs="Cambria Math"/>
                <w:iCs w:val="0"/>
              </w:rPr>
              <w:t>∞</w:t>
            </w:r>
            <w:r>
              <w:rPr>
                <w:iCs w:val="0"/>
              </w:rPr>
              <w:t xml:space="preserve">. </w:t>
            </w:r>
          </w:p>
        </w:tc>
      </w:tr>
    </w:tbl>
    <w:p w14:paraId="1897ECF5" w14:textId="77777777" w:rsidR="00B5263E" w:rsidRDefault="00B5263E" w:rsidP="00B5263E">
      <w:pPr>
        <w:pStyle w:val="NoSpacing"/>
        <w:rPr>
          <w:b/>
          <w:bCs/>
          <w:iCs/>
        </w:rPr>
      </w:pPr>
      <w:r>
        <w:rPr>
          <w:b/>
          <w:bCs/>
          <w:iCs/>
        </w:rPr>
        <w:t>Conclusion:</w:t>
      </w:r>
    </w:p>
    <w:p w14:paraId="176A3744" w14:textId="27D9FE61" w:rsidR="00B5263E" w:rsidRDefault="00B5263E" w:rsidP="00B5263E">
      <w:pPr>
        <w:pStyle w:val="NoSpacing"/>
        <w:rPr>
          <w:iCs/>
        </w:rPr>
      </w:pPr>
      <w:r>
        <w:rPr>
          <w:iCs/>
        </w:rPr>
        <w:t>The method of using the BET transform method is a poor technique and can lead to deceiving results.  It is convenient but mathematically incorrect.  The mathematic</w:t>
      </w:r>
      <w:r w:rsidR="003507AF">
        <w:rPr>
          <w:iCs/>
        </w:rPr>
        <w:t>al treatment</w:t>
      </w:r>
      <w:r>
        <w:rPr>
          <w:iCs/>
        </w:rPr>
        <w:t xml:space="preserve"> is especially egregious since the transform dependent variable is a function of the isotherm dependent and independent variables.  The best technique is to use a non-linear least squares routine to fit the original isotherm.  Alternatively, one may transform the abscissa so long as it remains a function of pressure.</w:t>
      </w:r>
    </w:p>
    <w:p w14:paraId="60D6F162" w14:textId="77777777" w:rsidR="00B5263E" w:rsidRDefault="00B5263E" w:rsidP="00B5263E">
      <w:pPr>
        <w:pStyle w:val="NoSpacing"/>
        <w:rPr>
          <w:iCs/>
        </w:rPr>
      </w:pPr>
    </w:p>
    <w:p w14:paraId="30F739F5" w14:textId="77777777" w:rsidR="00B5263E" w:rsidRPr="00E84FF6" w:rsidRDefault="00B5263E" w:rsidP="00B5263E">
      <w:pPr>
        <w:pStyle w:val="NoSpacing"/>
        <w:rPr>
          <w:iCs/>
        </w:rPr>
      </w:pPr>
      <w:r>
        <w:rPr>
          <w:iCs/>
        </w:rPr>
        <w:t xml:space="preserve">There were two reasons that Prof. Arthur Adamson did not back the polarization theory more vigorously.  These are mentioned in his quote above.  Firstly, the value of </w:t>
      </w:r>
      <w:r>
        <w:rPr>
          <w:i/>
        </w:rPr>
        <w:t>v</w:t>
      </w:r>
      <w:r>
        <w:rPr>
          <w:iCs/>
          <w:vertAlign w:val="subscript"/>
        </w:rPr>
        <w:t>m</w:t>
      </w:r>
      <w:r>
        <w:rPr>
          <w:iCs/>
        </w:rPr>
        <w:t xml:space="preserve"> is explicit in the theory.  There was much doubt about that at the time.  The assumption that was made is the value of the calculated </w:t>
      </w:r>
      <w:r>
        <w:rPr>
          <w:i/>
        </w:rPr>
        <w:t>v</w:t>
      </w:r>
      <w:r>
        <w:rPr>
          <w:iCs/>
          <w:vertAlign w:val="subscript"/>
        </w:rPr>
        <w:t>m</w:t>
      </w:r>
      <w:r>
        <w:rPr>
          <w:iCs/>
        </w:rPr>
        <w:t xml:space="preserve"> was indeed connected to the surface through the liquid density. Thus, although to avoid other problems, it was assumed that the adsorbate did not act like the liquid and Brunauer said the phase change was a </w:t>
      </w:r>
      <w:r>
        <w:rPr>
          <w:i/>
        </w:rPr>
        <w:t>P</w:t>
      </w:r>
      <w:r>
        <w:rPr>
          <w:iCs/>
          <w:vertAlign w:val="subscript"/>
        </w:rPr>
        <w:t>vap</w:t>
      </w:r>
      <w:r>
        <w:rPr>
          <w:iCs/>
        </w:rPr>
        <w:t>.</w:t>
      </w:r>
    </w:p>
    <w:p w14:paraId="1777416D" w14:textId="77777777" w:rsidR="00B5263E" w:rsidRPr="00A14138" w:rsidRDefault="00B5263E" w:rsidP="00B5263E">
      <w:pPr>
        <w:pStyle w:val="NoSpacing"/>
        <w:rPr>
          <w:iCs/>
        </w:rPr>
      </w:pPr>
    </w:p>
    <w:p w14:paraId="6B7BD080" w14:textId="4B0ACEA2" w:rsidR="00B708DA" w:rsidRPr="0008609E" w:rsidRDefault="00DC31FB" w:rsidP="0008609E">
      <w:pPr>
        <w:pStyle w:val="Heading1"/>
        <w:rPr>
          <w:rFonts w:ascii="Times New Roman" w:hAnsi="Times New Roman" w:cs="Times New Roman"/>
          <w:b/>
          <w:bCs/>
          <w:sz w:val="24"/>
          <w:szCs w:val="24"/>
        </w:rPr>
      </w:pPr>
      <w:bookmarkStart w:id="84" w:name="_Toc171582165"/>
      <w:r w:rsidRPr="0008609E">
        <w:rPr>
          <w:rFonts w:ascii="Times New Roman" w:hAnsi="Times New Roman" w:cs="Times New Roman"/>
          <w:b/>
          <w:bCs/>
          <w:color w:val="auto"/>
          <w:sz w:val="24"/>
          <w:szCs w:val="24"/>
        </w:rPr>
        <w:t>References</w:t>
      </w:r>
      <w:bookmarkEnd w:id="84"/>
    </w:p>
    <w:sectPr w:rsidR="00B708DA" w:rsidRPr="0008609E" w:rsidSect="00135709">
      <w:headerReference w:type="default" r:id="rId38"/>
      <w:footnotePr>
        <w:numFmt w:val="chicago"/>
        <w:numRestart w:val="eachPage"/>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2C7B2" w14:textId="77777777" w:rsidR="00F743C9" w:rsidRDefault="00F743C9" w:rsidP="00C178E0">
      <w:r>
        <w:separator/>
      </w:r>
    </w:p>
  </w:endnote>
  <w:endnote w:type="continuationSeparator" w:id="0">
    <w:p w14:paraId="491787B2" w14:textId="77777777" w:rsidR="00F743C9" w:rsidRDefault="00F743C9" w:rsidP="00C178E0">
      <w:r>
        <w:continuationSeparator/>
      </w:r>
    </w:p>
  </w:endnote>
  <w:endnote w:id="1">
    <w:p w14:paraId="18CF70DA" w14:textId="7F9D9B0F" w:rsidR="006A29B6" w:rsidRPr="00A613B7" w:rsidRDefault="006A29B6" w:rsidP="00ED2E15">
      <w:r w:rsidRPr="00A613B7">
        <w:rPr>
          <w:rStyle w:val="EndnoteReference"/>
        </w:rPr>
        <w:endnoteRef/>
      </w:r>
      <w:r w:rsidRPr="00A613B7">
        <w:t xml:space="preserve"> S. Brunauer, P. H. Emmett, E. Teller, </w:t>
      </w:r>
      <w:r w:rsidR="00EC5C5E" w:rsidRPr="00A613B7">
        <w:t>“</w:t>
      </w:r>
      <w:hyperlink r:id="rId1" w:history="1">
        <w:r w:rsidR="00EC5C5E" w:rsidRPr="00A613B7">
          <w:t>Adsorption of Gases in Multimolecular Layers</w:t>
        </w:r>
      </w:hyperlink>
      <w:r w:rsidR="00EC5C5E" w:rsidRPr="00A613B7">
        <w:t xml:space="preserve">,” </w:t>
      </w:r>
      <w:r w:rsidR="00EC5C5E" w:rsidRPr="00A613B7">
        <w:rPr>
          <w:i/>
          <w:iCs/>
        </w:rPr>
        <w:t xml:space="preserve">J. Am. </w:t>
      </w:r>
      <w:r w:rsidRPr="00A613B7">
        <w:rPr>
          <w:i/>
          <w:iCs/>
        </w:rPr>
        <w:t>Chem</w:t>
      </w:r>
      <w:r w:rsidR="00EC5C5E" w:rsidRPr="00A613B7">
        <w:rPr>
          <w:i/>
          <w:iCs/>
        </w:rPr>
        <w:t>.</w:t>
      </w:r>
      <w:r w:rsidRPr="00A613B7">
        <w:rPr>
          <w:i/>
          <w:iCs/>
        </w:rPr>
        <w:t xml:space="preserve"> Soc.</w:t>
      </w:r>
      <w:r w:rsidRPr="00A613B7">
        <w:t xml:space="preserve"> </w:t>
      </w:r>
      <w:r w:rsidRPr="005015DA">
        <w:rPr>
          <w:b/>
          <w:bCs/>
        </w:rPr>
        <w:t>60</w:t>
      </w:r>
      <w:r w:rsidRPr="00A613B7">
        <w:t xml:space="preserve"> (1938) 309</w:t>
      </w:r>
      <w:r w:rsidR="00EC5C5E" w:rsidRPr="00A613B7">
        <w:t>-319</w:t>
      </w:r>
      <w:r w:rsidRPr="00A613B7">
        <w:t>.</w:t>
      </w:r>
    </w:p>
  </w:endnote>
  <w:endnote w:id="2">
    <w:p w14:paraId="5C646897" w14:textId="5E4AD0FF" w:rsidR="00373422" w:rsidRPr="00C976FC" w:rsidRDefault="00373422">
      <w:pPr>
        <w:pStyle w:val="EndnoteText"/>
        <w:rPr>
          <w:sz w:val="24"/>
          <w:szCs w:val="24"/>
        </w:rPr>
      </w:pPr>
      <w:r w:rsidRPr="00C976FC">
        <w:rPr>
          <w:rStyle w:val="EndnoteReference"/>
          <w:sz w:val="24"/>
          <w:szCs w:val="24"/>
        </w:rPr>
        <w:endnoteRef/>
      </w:r>
      <w:r w:rsidRPr="00C976FC">
        <w:rPr>
          <w:sz w:val="24"/>
          <w:szCs w:val="24"/>
        </w:rPr>
        <w:t xml:space="preserve">  J, B. Condon, “Surface Area and Porosity Determinations by Physisorption – Measurements and Theory [1st Edition],” Elsevier Publishers, Amsterdam, NL  (2008) ISBN-13 978-0-444-51954-1</w:t>
      </w:r>
    </w:p>
  </w:endnote>
  <w:endnote w:id="3">
    <w:p w14:paraId="69E20E99" w14:textId="15C85890" w:rsidR="00BB75AD" w:rsidRPr="00A613B7" w:rsidRDefault="00BB75AD" w:rsidP="00ED2E15">
      <w:r w:rsidRPr="00A613B7">
        <w:rPr>
          <w:rStyle w:val="EndnoteReference"/>
        </w:rPr>
        <w:endnoteRef/>
      </w:r>
      <w:r w:rsidRPr="00A613B7">
        <w:t xml:space="preserve"> Personal conversation between </w:t>
      </w:r>
      <w:r w:rsidR="007D35FC" w:rsidRPr="00A613B7">
        <w:t xml:space="preserve">S. </w:t>
      </w:r>
      <w:r w:rsidRPr="00A613B7">
        <w:t xml:space="preserve">Brunauer and </w:t>
      </w:r>
      <w:r w:rsidR="007D35FC" w:rsidRPr="00A613B7">
        <w:t xml:space="preserve">E. L. </w:t>
      </w:r>
      <w:r w:rsidRPr="00A613B7">
        <w:t>Fuller</w:t>
      </w:r>
      <w:r w:rsidR="007D35FC" w:rsidRPr="00A613B7">
        <w:t>, Jr.</w:t>
      </w:r>
      <w:r w:rsidRPr="00A613B7">
        <w:t xml:space="preserve"> at </w:t>
      </w:r>
      <w:r w:rsidR="00EC5C5E" w:rsidRPr="00A613B7">
        <w:t xml:space="preserve">the </w:t>
      </w:r>
      <w:r w:rsidRPr="00A613B7">
        <w:t>request</w:t>
      </w:r>
      <w:r w:rsidR="00EC5C5E" w:rsidRPr="00A613B7">
        <w:t xml:space="preserve"> of J</w:t>
      </w:r>
      <w:r w:rsidR="007D35FC" w:rsidRPr="00A613B7">
        <w:t>.</w:t>
      </w:r>
      <w:r w:rsidR="00EC5C5E" w:rsidRPr="00A613B7">
        <w:t xml:space="preserve"> </w:t>
      </w:r>
      <w:r w:rsidR="007D35FC" w:rsidRPr="00A613B7">
        <w:t xml:space="preserve">B. </w:t>
      </w:r>
      <w:r w:rsidR="00EC5C5E" w:rsidRPr="00A613B7">
        <w:t>Condon</w:t>
      </w:r>
      <w:r w:rsidRPr="00A613B7">
        <w:t>.</w:t>
      </w:r>
    </w:p>
  </w:endnote>
  <w:endnote w:id="4">
    <w:p w14:paraId="2A54D751" w14:textId="4566CF2C" w:rsidR="00A62DC1" w:rsidRPr="00A613B7" w:rsidRDefault="00A62DC1" w:rsidP="00ED2E15">
      <w:pPr>
        <w:rPr>
          <w:color w:val="C00000"/>
        </w:rPr>
      </w:pPr>
      <w:r w:rsidRPr="00A613B7">
        <w:rPr>
          <w:rStyle w:val="EndnoteReference"/>
        </w:rPr>
        <w:endnoteRef/>
      </w:r>
      <w:r w:rsidRPr="00A613B7">
        <w:t xml:space="preserve"> </w:t>
      </w:r>
      <w:r w:rsidRPr="00ED2E15">
        <w:t xml:space="preserve">J. Adolphs and J, B. Condon, </w:t>
      </w:r>
      <w:r w:rsidR="005B6EF8" w:rsidRPr="00ED2E15">
        <w:t>“</w:t>
      </w:r>
      <w:r w:rsidR="005B6EF8" w:rsidRPr="005B6EF8">
        <w:rPr>
          <w:rStyle w:val="Strong"/>
          <w:b w:val="0"/>
          <w:bCs w:val="0"/>
        </w:rPr>
        <w:t>Analysis of Physical Adsorption Based on Quantum Mechanics and Excess Surface Work - A Review and Aggregation</w:t>
      </w:r>
      <w:r w:rsidR="00ED2E15">
        <w:rPr>
          <w:rStyle w:val="Strong"/>
          <w:b w:val="0"/>
          <w:bCs w:val="0"/>
        </w:rPr>
        <w:t>,</w:t>
      </w:r>
      <w:r w:rsidR="005B6EF8">
        <w:rPr>
          <w:rStyle w:val="Strong"/>
          <w:b w:val="0"/>
          <w:bCs w:val="0"/>
        </w:rPr>
        <w:t>”</w:t>
      </w:r>
      <w:r w:rsidR="00ED2E15">
        <w:rPr>
          <w:rStyle w:val="Strong"/>
          <w:b w:val="0"/>
          <w:bCs w:val="0"/>
        </w:rPr>
        <w:t xml:space="preserve"> submitted.</w:t>
      </w:r>
    </w:p>
  </w:endnote>
  <w:endnote w:id="5">
    <w:p w14:paraId="43F1566F" w14:textId="5C1C488A" w:rsidR="00BF4530" w:rsidRPr="00A613B7" w:rsidRDefault="00C178E0" w:rsidP="00E10922">
      <w:r w:rsidRPr="00A613B7">
        <w:rPr>
          <w:rStyle w:val="EndnoteReference"/>
        </w:rPr>
        <w:endnoteRef/>
      </w:r>
      <w:r w:rsidRPr="00A613B7">
        <w:t xml:space="preserve"> J, B. Condon, “Surface Area and Porosity Determinations by Physisorption </w:t>
      </w:r>
      <w:r w:rsidR="00FD326D">
        <w:t>–</w:t>
      </w:r>
      <w:r w:rsidRPr="00A613B7">
        <w:t xml:space="preserve"> </w:t>
      </w:r>
      <w:r w:rsidR="00FD326D">
        <w:t>M</w:t>
      </w:r>
      <w:r w:rsidR="00982F07" w:rsidRPr="00A613B7">
        <w:t>easurements</w:t>
      </w:r>
      <w:r w:rsidR="00FD326D">
        <w:t>,</w:t>
      </w:r>
      <w:r w:rsidR="00982F07" w:rsidRPr="00A613B7">
        <w:t xml:space="preserve"> Classical Theories</w:t>
      </w:r>
      <w:r w:rsidRPr="00A613B7">
        <w:t xml:space="preserve"> and Quantum Theory</w:t>
      </w:r>
      <w:r w:rsidR="00982F07" w:rsidRPr="00A613B7">
        <w:t>, 2</w:t>
      </w:r>
      <w:r w:rsidR="00982F07" w:rsidRPr="00A613B7">
        <w:rPr>
          <w:vertAlign w:val="superscript"/>
        </w:rPr>
        <w:t>nd</w:t>
      </w:r>
      <w:r w:rsidR="00982F07" w:rsidRPr="00A613B7">
        <w:t xml:space="preserve"> Edition,” Elsevier Publishers, Amsterdam, NL </w:t>
      </w:r>
      <w:r w:rsidR="00707EC0" w:rsidRPr="00A613B7">
        <w:t xml:space="preserve"> (2021) </w:t>
      </w:r>
      <w:r w:rsidR="00982F07" w:rsidRPr="00A613B7">
        <w:t xml:space="preserve">ISBN:978-0-12-818785-2 </w:t>
      </w:r>
    </w:p>
  </w:endnote>
  <w:endnote w:id="6">
    <w:p w14:paraId="6852F662" w14:textId="5802F622" w:rsidR="00E10922" w:rsidRPr="00582D2B" w:rsidRDefault="00E10922" w:rsidP="00E10922">
      <w:pPr>
        <w:pStyle w:val="NoSpacing"/>
      </w:pPr>
      <w:r w:rsidRPr="00582D2B">
        <w:rPr>
          <w:rStyle w:val="EndnoteReference"/>
        </w:rPr>
        <w:endnoteRef/>
      </w:r>
      <w:r w:rsidRPr="00582D2B">
        <w:t xml:space="preserve"> R. B. Gammage, R. B. Holmes, H. F., Fuller, E. L., Glasson, D. R, “Pore structure induced by water vapor adsorbed on nonporous lunar fines and ground calcite,” J. Colloid Interface Sci. </w:t>
      </w:r>
      <w:r w:rsidRPr="007D5DB7">
        <w:rPr>
          <w:b/>
          <w:bCs/>
        </w:rPr>
        <w:t>47(2)</w:t>
      </w:r>
      <w:r w:rsidRPr="00582D2B">
        <w:t xml:space="preserve"> (1974) 350–363</w:t>
      </w:r>
    </w:p>
  </w:endnote>
  <w:endnote w:id="7">
    <w:p w14:paraId="51C2FCF2" w14:textId="04A9652D" w:rsidR="00E10922" w:rsidRPr="00582D2B" w:rsidRDefault="00E10922" w:rsidP="00E10922">
      <w:pPr>
        <w:pStyle w:val="NoSpacing"/>
      </w:pPr>
      <w:r w:rsidRPr="00582D2B">
        <w:rPr>
          <w:rStyle w:val="EndnoteReference"/>
        </w:rPr>
        <w:endnoteRef/>
      </w:r>
      <w:r w:rsidRPr="00582D2B">
        <w:t xml:space="preserve"> R. B. Gammage, E. L. Fuller, H. F. Holmes “Uniform nonporous thorium: The effect of surface water on adsorptive properties.” J. Colloid Interface Sci. </w:t>
      </w:r>
      <w:r w:rsidRPr="007D5DB7">
        <w:rPr>
          <w:b/>
          <w:bCs/>
        </w:rPr>
        <w:t>34(3)</w:t>
      </w:r>
      <w:r w:rsidRPr="00582D2B">
        <w:t xml:space="preserve"> (1970) 428–435</w:t>
      </w:r>
    </w:p>
  </w:endnote>
  <w:endnote w:id="8">
    <w:p w14:paraId="406EA69B" w14:textId="719B1542" w:rsidR="00E10922" w:rsidRPr="00582D2B" w:rsidRDefault="00E10922" w:rsidP="00E10922">
      <w:pPr>
        <w:pStyle w:val="NoSpacing"/>
      </w:pPr>
      <w:r w:rsidRPr="00582D2B">
        <w:rPr>
          <w:rStyle w:val="EndnoteReference"/>
        </w:rPr>
        <w:endnoteRef/>
      </w:r>
      <w:r w:rsidRPr="00582D2B">
        <w:t xml:space="preserve"> E. L. Fuller “Interaction of gases with lunar materials (12001): Textural changes induced by sorbed water” J. Colloid Interface Sci. </w:t>
      </w:r>
      <w:r w:rsidRPr="007D5DB7">
        <w:rPr>
          <w:b/>
          <w:bCs/>
        </w:rPr>
        <w:t>55(2)</w:t>
      </w:r>
      <w:r w:rsidRPr="00582D2B">
        <w:t xml:space="preserve"> (1976) 358–369.</w:t>
      </w:r>
    </w:p>
  </w:endnote>
  <w:endnote w:id="9">
    <w:p w14:paraId="6FFA6837" w14:textId="658B81BB" w:rsidR="00E10922" w:rsidRPr="00582D2B" w:rsidRDefault="00E10922" w:rsidP="00E10922">
      <w:pPr>
        <w:pStyle w:val="NoSpacing"/>
      </w:pPr>
      <w:r w:rsidRPr="00582D2B">
        <w:rPr>
          <w:rStyle w:val="EndnoteReference"/>
        </w:rPr>
        <w:endnoteRef/>
      </w:r>
      <w:r w:rsidRPr="00582D2B">
        <w:t xml:space="preserve"> E. L. Fuller, J. B. Condon “Statistical mechanical evaluation of surface area from physical adsorption of gases,” Colloid. Surf. </w:t>
      </w:r>
      <w:r w:rsidRPr="007D5DB7">
        <w:rPr>
          <w:b/>
          <w:bCs/>
        </w:rPr>
        <w:t>37(1)</w:t>
      </w:r>
      <w:r w:rsidRPr="00582D2B">
        <w:t xml:space="preserve"> (1989) 171–182.</w:t>
      </w:r>
    </w:p>
  </w:endnote>
  <w:endnote w:id="10">
    <w:p w14:paraId="747CF300" w14:textId="6B9BEDE9" w:rsidR="00E10922" w:rsidRPr="00582D2B" w:rsidRDefault="00E10922" w:rsidP="00E10922">
      <w:pPr>
        <w:pStyle w:val="NoSpacing"/>
      </w:pPr>
      <w:r w:rsidRPr="00582D2B">
        <w:rPr>
          <w:rStyle w:val="EndnoteReference"/>
        </w:rPr>
        <w:endnoteRef/>
      </w:r>
      <w:r w:rsidRPr="00582D2B">
        <w:t xml:space="preserve"> E. L. Fuller, F.A. Agron “The reactions of atmospheric vapor with lunar soils,” US Department of Energy Report DOE ORNL-5129 (UC-346), Department of Energy, Oak Ridge, TN (1976).</w:t>
      </w:r>
    </w:p>
  </w:endnote>
  <w:endnote w:id="11">
    <w:p w14:paraId="78832BED" w14:textId="40D5F81B" w:rsidR="00E10922" w:rsidRPr="00582D2B" w:rsidRDefault="00E10922" w:rsidP="00E10922">
      <w:pPr>
        <w:pStyle w:val="NoSpacing"/>
      </w:pPr>
      <w:r w:rsidRPr="00582D2B">
        <w:rPr>
          <w:rStyle w:val="EndnoteReference"/>
        </w:rPr>
        <w:endnoteRef/>
      </w:r>
      <w:r w:rsidRPr="00582D2B">
        <w:t xml:space="preserve"> E. L. Fuller “Surface chemistry and structure of beryllium oxide,</w:t>
      </w:r>
      <w:r>
        <w:t xml:space="preserve"> “</w:t>
      </w:r>
      <w:r w:rsidRPr="00582D2B">
        <w:t>US Department of Energy Report DOE Y/DK-282), USDOE, Oak Ridge, TN, (1982).</w:t>
      </w:r>
    </w:p>
  </w:endnote>
  <w:endnote w:id="12">
    <w:p w14:paraId="30DA000F" w14:textId="0ED29CCC" w:rsidR="00ED2E15" w:rsidRDefault="00ED2E15" w:rsidP="00ED2E15">
      <w:pPr>
        <w:pStyle w:val="NoSpacing"/>
      </w:pPr>
      <w:r>
        <w:rPr>
          <w:rStyle w:val="EndnoteReference"/>
        </w:rPr>
        <w:endnoteRef/>
      </w:r>
      <w:r>
        <w:t xml:space="preserve"> </w:t>
      </w:r>
      <w:r>
        <w:rPr>
          <w:szCs w:val="24"/>
        </w:rPr>
        <w:t>J. B.  Condon, “The Derivation of a Simple, Practical Equation for the Analysis of the Entire Surface Physical Adsorption Isotherm - U,” DOE Report Y-2406 (U), Oak Ridge, TN (October 1988.)</w:t>
      </w:r>
    </w:p>
  </w:endnote>
  <w:endnote w:id="13">
    <w:p w14:paraId="36411B76" w14:textId="6620AE7B" w:rsidR="00ED2E15" w:rsidRDefault="00ED2E15" w:rsidP="00ED2E15">
      <w:pPr>
        <w:pStyle w:val="NoSpacing"/>
      </w:pPr>
      <w:r>
        <w:rPr>
          <w:rStyle w:val="EndnoteReference"/>
        </w:rPr>
        <w:endnoteRef/>
      </w:r>
      <w:r>
        <w:t xml:space="preserve"> </w:t>
      </w:r>
      <w:r w:rsidRPr="000506AD">
        <w:t>J. B. Condon, “Equivalency of the Dubinin-Polanyi Equations and the QM Based Sorption</w:t>
      </w:r>
      <w:r>
        <w:t xml:space="preserve"> </w:t>
      </w:r>
      <w:r w:rsidRPr="000506AD">
        <w:t>Isotherm Equation - Part A, Simulations of Heterogeneous Surfaces,” Journal of Microporous</w:t>
      </w:r>
      <w:r>
        <w:t xml:space="preserve"> </w:t>
      </w:r>
      <w:r w:rsidRPr="000506AD">
        <w:t xml:space="preserve">and Mesoporous Materials </w:t>
      </w:r>
      <w:r w:rsidRPr="000506AD">
        <w:rPr>
          <w:b/>
          <w:bCs/>
        </w:rPr>
        <w:t xml:space="preserve">38 </w:t>
      </w:r>
      <w:r w:rsidRPr="000506AD">
        <w:t>(2000) 359.</w:t>
      </w:r>
    </w:p>
  </w:endnote>
  <w:endnote w:id="14">
    <w:p w14:paraId="7AC759CD" w14:textId="77777777" w:rsidR="00ED2E15" w:rsidRDefault="00ED2E15" w:rsidP="00ED2E15">
      <w:pPr>
        <w:pStyle w:val="NoSpacing"/>
      </w:pPr>
      <w:r>
        <w:rPr>
          <w:rStyle w:val="EndnoteReference"/>
        </w:rPr>
        <w:endnoteRef/>
      </w:r>
      <w:r>
        <w:t xml:space="preserve"> </w:t>
      </w:r>
      <w:r w:rsidRPr="007D5DB7">
        <w:t xml:space="preserve">J. B.  Condon, “Chi representation of Standard Nitrogen, Argon, and Oxygen Absorption Curves,” Langmuir, </w:t>
      </w:r>
      <w:r w:rsidRPr="007D5DB7">
        <w:rPr>
          <w:b/>
          <w:bCs/>
        </w:rPr>
        <w:t>17(11)</w:t>
      </w:r>
      <w:r w:rsidRPr="007D5DB7">
        <w:t xml:space="preserve"> (2001) 3423.</w:t>
      </w:r>
    </w:p>
  </w:endnote>
  <w:endnote w:id="15">
    <w:p w14:paraId="4CCD08CE" w14:textId="30DAE540" w:rsidR="00ED2E15" w:rsidRDefault="00ED2E15" w:rsidP="00ED2E15">
      <w:pPr>
        <w:pStyle w:val="NoSpacing"/>
      </w:pPr>
      <w:r>
        <w:rPr>
          <w:rStyle w:val="EndnoteReference"/>
        </w:rPr>
        <w:endnoteRef/>
      </w:r>
      <w:r>
        <w:t xml:space="preserve"> </w:t>
      </w:r>
      <w:r w:rsidRPr="000506AD">
        <w:t>J. B. Condon, “Equivalency of the Dubinin-Polanyi Equations and the QM Based Sorption</w:t>
      </w:r>
      <w:r>
        <w:t xml:space="preserve"> </w:t>
      </w:r>
      <w:r w:rsidRPr="000506AD">
        <w:t>Isotherm Equation - Part B, Application and Modeling,” Journal of Microporous and</w:t>
      </w:r>
      <w:r>
        <w:t xml:space="preserve"> </w:t>
      </w:r>
      <w:r w:rsidRPr="000506AD">
        <w:t xml:space="preserve">Mesoporous Materials </w:t>
      </w:r>
      <w:r w:rsidRPr="000506AD">
        <w:rPr>
          <w:b/>
          <w:bCs/>
        </w:rPr>
        <w:t xml:space="preserve">38 </w:t>
      </w:r>
      <w:r w:rsidRPr="000506AD">
        <w:t>(2000) 377.</w:t>
      </w:r>
    </w:p>
  </w:endnote>
  <w:endnote w:id="16">
    <w:p w14:paraId="70D7A013" w14:textId="589997F9" w:rsidR="00ED2E15" w:rsidRDefault="00ED2E15" w:rsidP="00ED2E15">
      <w:pPr>
        <w:pStyle w:val="NoSpacing"/>
      </w:pPr>
      <w:r>
        <w:rPr>
          <w:rStyle w:val="EndnoteReference"/>
        </w:rPr>
        <w:endnoteRef/>
      </w:r>
      <w:r>
        <w:t xml:space="preserve"> </w:t>
      </w:r>
      <w:r w:rsidRPr="007D5DB7">
        <w:t>J. B. Condon, “Heats of physisorption and the Predictions of the Chi Theory,” Journal of</w:t>
      </w:r>
      <w:r>
        <w:t xml:space="preserve"> </w:t>
      </w:r>
      <w:r w:rsidRPr="007D5DB7">
        <w:t xml:space="preserve">Microporous and Mesoporous Mat., </w:t>
      </w:r>
      <w:r w:rsidRPr="007D5DB7">
        <w:rPr>
          <w:b/>
          <w:bCs/>
        </w:rPr>
        <w:t xml:space="preserve">53 </w:t>
      </w:r>
      <w:r w:rsidRPr="007D5DB7">
        <w:t>(2002) 21-36.</w:t>
      </w:r>
    </w:p>
  </w:endnote>
  <w:endnote w:id="17">
    <w:p w14:paraId="1B24DF8F" w14:textId="17680F7D" w:rsidR="00ED2E15" w:rsidRPr="007D5DB7" w:rsidRDefault="00ED2E15" w:rsidP="00ED2E15">
      <w:pPr>
        <w:pStyle w:val="NoSpacing"/>
      </w:pPr>
      <w:r>
        <w:rPr>
          <w:rStyle w:val="EndnoteReference"/>
        </w:rPr>
        <w:endnoteRef/>
      </w:r>
      <w:r>
        <w:t xml:space="preserve"> </w:t>
      </w:r>
      <w:r w:rsidRPr="007D5DB7">
        <w:t>J. B. Condon, “Calculations of Microporosity and Mesoporosity by the Chi Theory Method,</w:t>
      </w:r>
      <w:r>
        <w:t xml:space="preserve">” </w:t>
      </w:r>
      <w:r w:rsidRPr="007D5DB7">
        <w:t xml:space="preserve">Journal of Microporous and Mesoporous Mat., </w:t>
      </w:r>
      <w:r w:rsidRPr="007D5DB7">
        <w:rPr>
          <w:b/>
          <w:bCs/>
        </w:rPr>
        <w:t xml:space="preserve">55 </w:t>
      </w:r>
      <w:r w:rsidRPr="007D5DB7">
        <w:t>(2002) 15-3.</w:t>
      </w:r>
    </w:p>
  </w:endnote>
  <w:endnote w:id="18">
    <w:p w14:paraId="70A11EBA" w14:textId="0E26F4B2" w:rsidR="00ED2E15" w:rsidRDefault="00ED2E15" w:rsidP="00ED2E15">
      <w:pPr>
        <w:pStyle w:val="NoSpacing"/>
      </w:pPr>
      <w:r>
        <w:rPr>
          <w:rStyle w:val="EndnoteReference"/>
        </w:rPr>
        <w:endnoteRef/>
      </w:r>
      <w:r>
        <w:t xml:space="preserve"> J. B. Condon, “Using classical methods to start quantum mechanical calculations for microporosity and mesoporosity,” Adsorption </w:t>
      </w:r>
      <w:r>
        <w:rPr>
          <w:b/>
          <w:bCs/>
        </w:rPr>
        <w:t>26</w:t>
      </w:r>
      <w:r>
        <w:t xml:space="preserve">, (2020) 1291–1299. </w:t>
      </w:r>
      <w:hyperlink r:id="rId2" w:history="1">
        <w:r>
          <w:rPr>
            <w:color w:val="0000FF"/>
            <w:u w:val="single"/>
          </w:rPr>
          <w:t>https://doi.org/10.1007/s10450-020-00267-8</w:t>
        </w:r>
      </w:hyperlink>
      <w:r w:rsidRPr="007D5DB7">
        <w:rPr>
          <w:lang w:val="en-CA"/>
        </w:rPr>
        <w:fldChar w:fldCharType="begin"/>
      </w:r>
      <w:r w:rsidRPr="007D5DB7">
        <w:rPr>
          <w:lang w:val="en-CA"/>
        </w:rPr>
        <w:instrText xml:space="preserve"> SEQ CHAPTER \h \r 1</w:instrText>
      </w:r>
      <w:r w:rsidRPr="007D5DB7">
        <w:rPr>
          <w:lang w:val="en-CA"/>
        </w:rPr>
        <w:fldChar w:fldCharType="separate"/>
      </w:r>
      <w:r w:rsidR="00040CA9">
        <w:rPr>
          <w:b/>
          <w:bCs/>
          <w:noProof/>
        </w:rPr>
        <w:t>Error! Main Document Only.</w:t>
      </w:r>
      <w:r w:rsidRPr="007D5DB7">
        <w:rPr>
          <w:lang w:val="en-CA"/>
        </w:rPr>
        <w:fldChar w:fldCharType="end"/>
      </w:r>
      <w:r w:rsidRPr="007D5DB7">
        <w:t>J</w:t>
      </w:r>
    </w:p>
  </w:endnote>
  <w:endnote w:id="19">
    <w:p w14:paraId="23DB361E" w14:textId="078612AE" w:rsidR="00E10922" w:rsidRDefault="00E10922" w:rsidP="00E10922">
      <w:pPr>
        <w:pStyle w:val="NoSpacing"/>
      </w:pPr>
      <w:r>
        <w:rPr>
          <w:rStyle w:val="EndnoteReference"/>
        </w:rPr>
        <w:endnoteRef/>
      </w:r>
      <w:r>
        <w:t xml:space="preserve"> </w:t>
      </w:r>
      <w:r>
        <w:rPr>
          <w:szCs w:val="24"/>
        </w:rPr>
        <w:t xml:space="preserve">J. Adolphs, M. J. Seizer, “A model to describe adsorption isotherms,” J. Colloid Interface Sci. </w:t>
      </w:r>
      <w:r>
        <w:rPr>
          <w:b/>
          <w:bCs/>
          <w:szCs w:val="24"/>
        </w:rPr>
        <w:t>180</w:t>
      </w:r>
      <w:r>
        <w:rPr>
          <w:szCs w:val="24"/>
        </w:rPr>
        <w:t xml:space="preserve"> (1996) 70</w:t>
      </w:r>
    </w:p>
  </w:endnote>
  <w:endnote w:id="20">
    <w:p w14:paraId="2BB7CFB4" w14:textId="3D8751A9" w:rsidR="00E10922" w:rsidRDefault="00E10922" w:rsidP="00E10922">
      <w:pPr>
        <w:pStyle w:val="NoSpacing"/>
      </w:pPr>
      <w:r>
        <w:rPr>
          <w:rStyle w:val="EndnoteReference"/>
        </w:rPr>
        <w:endnoteRef/>
      </w:r>
      <w:r>
        <w:t xml:space="preserve"> </w:t>
      </w:r>
      <w:r>
        <w:rPr>
          <w:szCs w:val="24"/>
        </w:rPr>
        <w:t xml:space="preserve">J. Adolphs, M. J. Seizer, “Description of gas adsorption isotherms on porous and dispersed systems with the excess surface work model,” J. Colloid Interface Sci. </w:t>
      </w:r>
      <w:r>
        <w:rPr>
          <w:b/>
          <w:bCs/>
          <w:szCs w:val="24"/>
        </w:rPr>
        <w:t>207</w:t>
      </w:r>
      <w:r>
        <w:rPr>
          <w:szCs w:val="24"/>
        </w:rPr>
        <w:t xml:space="preserve"> (1998) 349–354</w:t>
      </w:r>
    </w:p>
  </w:endnote>
  <w:endnote w:id="21">
    <w:p w14:paraId="45A7E5B6" w14:textId="0898C5B9" w:rsidR="00E10922" w:rsidRDefault="00E10922" w:rsidP="00E10922">
      <w:pPr>
        <w:pStyle w:val="NoSpacing"/>
      </w:pPr>
      <w:r>
        <w:rPr>
          <w:rStyle w:val="EndnoteReference"/>
        </w:rPr>
        <w:endnoteRef/>
      </w:r>
      <w:r>
        <w:t xml:space="preserve"> </w:t>
      </w:r>
      <w:r>
        <w:rPr>
          <w:szCs w:val="24"/>
          <w:lang w:val="en-CA"/>
        </w:rPr>
        <w:fldChar w:fldCharType="begin"/>
      </w:r>
      <w:r>
        <w:rPr>
          <w:szCs w:val="24"/>
          <w:lang w:val="en-CA"/>
        </w:rPr>
        <w:instrText xml:space="preserve"> SEQ CHAPTER \h \r 1</w:instrText>
      </w:r>
      <w:r w:rsidR="00000000">
        <w:rPr>
          <w:szCs w:val="24"/>
          <w:lang w:val="en-CA"/>
        </w:rPr>
        <w:fldChar w:fldCharType="separate"/>
      </w:r>
      <w:r>
        <w:rPr>
          <w:szCs w:val="24"/>
          <w:lang w:val="en-CA"/>
        </w:rPr>
        <w:fldChar w:fldCharType="end"/>
      </w:r>
      <w:r>
        <w:rPr>
          <w:szCs w:val="24"/>
        </w:rPr>
        <w:t xml:space="preserve">N. V. Churaev, G. Starke, J. Adolphs, “Isotherms of capillary condensation influence by formation of adsorption films 1. calculation for model cylindrical and slit pores,” J. Colloid Interface Sci. </w:t>
      </w:r>
      <w:r>
        <w:rPr>
          <w:b/>
          <w:bCs/>
          <w:szCs w:val="24"/>
        </w:rPr>
        <w:t>221(2)</w:t>
      </w:r>
      <w:r>
        <w:rPr>
          <w:szCs w:val="24"/>
        </w:rPr>
        <w:t xml:space="preserve"> (2000) 246–253</w:t>
      </w:r>
    </w:p>
  </w:endnote>
  <w:endnote w:id="22">
    <w:p w14:paraId="55244F3B" w14:textId="16924C66" w:rsidR="00E10922" w:rsidRDefault="00E10922" w:rsidP="00E10922">
      <w:pPr>
        <w:pStyle w:val="NoSpacing"/>
      </w:pPr>
      <w:r>
        <w:rPr>
          <w:rStyle w:val="EndnoteReference"/>
        </w:rPr>
        <w:endnoteRef/>
      </w:r>
      <w:r>
        <w:t xml:space="preserve"> </w:t>
      </w:r>
      <w:r>
        <w:rPr>
          <w:szCs w:val="24"/>
        </w:rPr>
        <w:t xml:space="preserve">J. Adolphs, “Excess surface work - a modeless way of getting surface energies and specific surface area directly from sorption isotherms,” Appl. Surf. Sci. </w:t>
      </w:r>
      <w:r>
        <w:rPr>
          <w:b/>
          <w:bCs/>
          <w:szCs w:val="24"/>
        </w:rPr>
        <w:t>253(16)</w:t>
      </w:r>
      <w:r>
        <w:rPr>
          <w:szCs w:val="24"/>
        </w:rPr>
        <w:t xml:space="preserve"> (2007) 5645–5649</w:t>
      </w:r>
    </w:p>
  </w:endnote>
  <w:endnote w:id="23">
    <w:p w14:paraId="0F494865" w14:textId="0589A69F" w:rsidR="004C029C" w:rsidRDefault="004C029C">
      <w:pPr>
        <w:pStyle w:val="EndnoteText"/>
      </w:pPr>
      <w:r>
        <w:rPr>
          <w:rStyle w:val="EndnoteReference"/>
        </w:rPr>
        <w:endnoteRef/>
      </w:r>
      <w:r>
        <w:t xml:space="preserve"> </w:t>
      </w:r>
      <w:r w:rsidRPr="004C029C">
        <w:rPr>
          <w:color w:val="000000" w:themeColor="text1"/>
          <w:sz w:val="24"/>
          <w:szCs w:val="24"/>
        </w:rPr>
        <w:t>J. Adolphs, “Thermodynamics and Modeling of Sorption Isotherms,” Chem. Ing. Tech.</w:t>
      </w:r>
      <w:r>
        <w:rPr>
          <w:color w:val="000000" w:themeColor="text1"/>
          <w:sz w:val="24"/>
          <w:szCs w:val="24"/>
        </w:rPr>
        <w:t>,</w:t>
      </w:r>
      <w:r w:rsidRPr="004C029C">
        <w:rPr>
          <w:color w:val="000000" w:themeColor="text1"/>
          <w:sz w:val="24"/>
          <w:szCs w:val="24"/>
        </w:rPr>
        <w:t xml:space="preserve"> </w:t>
      </w:r>
      <w:r w:rsidRPr="004C029C">
        <w:rPr>
          <w:b/>
          <w:bCs/>
          <w:color w:val="000000" w:themeColor="text1"/>
          <w:sz w:val="24"/>
          <w:szCs w:val="24"/>
        </w:rPr>
        <w:t>58</w:t>
      </w:r>
      <w:r w:rsidRPr="004C029C">
        <w:rPr>
          <w:color w:val="000000" w:themeColor="text1"/>
          <w:sz w:val="24"/>
          <w:szCs w:val="24"/>
        </w:rPr>
        <w:t xml:space="preserve"> (2016) 274-281.</w:t>
      </w:r>
    </w:p>
  </w:endnote>
  <w:endnote w:id="24">
    <w:p w14:paraId="05849F6A" w14:textId="6AEA9ACA" w:rsidR="007956A9" w:rsidRPr="00A613B7" w:rsidRDefault="007956A9" w:rsidP="00ED2E15">
      <w:r w:rsidRPr="00A613B7">
        <w:rPr>
          <w:rStyle w:val="EndnoteReference"/>
        </w:rPr>
        <w:endnoteRef/>
      </w:r>
      <w:r w:rsidRPr="00A613B7">
        <w:t xml:space="preserve"> A. Clark, “The Theory of Adsorption and Catalysis,” Academic Press, New York (1970) Library of Congress number 78-107553.</w:t>
      </w:r>
    </w:p>
  </w:endnote>
  <w:endnote w:id="25">
    <w:p w14:paraId="12C646C1" w14:textId="26D4BB09" w:rsidR="00162354" w:rsidRPr="00A613B7" w:rsidRDefault="00162354" w:rsidP="00ED2E15">
      <w:r w:rsidRPr="00A613B7">
        <w:rPr>
          <w:rStyle w:val="EndnoteReference"/>
        </w:rPr>
        <w:endnoteRef/>
      </w:r>
      <w:r w:rsidRPr="00A613B7">
        <w:t xml:space="preserve"> </w:t>
      </w:r>
      <w:r w:rsidRPr="00A613B7">
        <w:rPr>
          <w:rFonts w:cs="Times New Roman"/>
        </w:rPr>
        <w:t xml:space="preserve">C. Buttersack, J. Möllmer, J. Hofmann, R. Gläser, </w:t>
      </w:r>
      <w:r w:rsidR="00EC5C5E" w:rsidRPr="00A613B7">
        <w:rPr>
          <w:rFonts w:cs="Times New Roman"/>
        </w:rPr>
        <w:t>“</w:t>
      </w:r>
      <w:r w:rsidR="00EC5C5E" w:rsidRPr="00A613B7">
        <w:rPr>
          <w:rFonts w:eastAsia="Times New Roman" w:cs="Times New Roman"/>
          <w:kern w:val="36"/>
          <w:lang w:eastAsia="en-US" w:bidi="ar-SA"/>
        </w:rPr>
        <w:t xml:space="preserve">Determination of micropore volume and external surface of zeolites,” </w:t>
      </w:r>
      <w:r w:rsidRPr="00A613B7">
        <w:rPr>
          <w:rFonts w:cs="Times New Roman"/>
          <w:i/>
          <w:iCs/>
        </w:rPr>
        <w:t>Microporous and Mesoporous Materials</w:t>
      </w:r>
      <w:r w:rsidRPr="00A613B7">
        <w:rPr>
          <w:rFonts w:cs="Times New Roman"/>
        </w:rPr>
        <w:t xml:space="preserve">, </w:t>
      </w:r>
      <w:r w:rsidRPr="005015DA">
        <w:rPr>
          <w:rFonts w:cs="Times New Roman"/>
          <w:b/>
          <w:bCs/>
        </w:rPr>
        <w:t>236</w:t>
      </w:r>
      <w:r w:rsidRPr="00A613B7">
        <w:rPr>
          <w:rFonts w:cs="Times New Roman"/>
        </w:rPr>
        <w:t xml:space="preserve"> (2016).63-70</w:t>
      </w:r>
    </w:p>
  </w:endnote>
  <w:endnote w:id="26">
    <w:p w14:paraId="03C382AA" w14:textId="131EFCCB" w:rsidR="00162354" w:rsidRPr="00A613B7" w:rsidRDefault="00162354" w:rsidP="00ED2E15">
      <w:r w:rsidRPr="00A613B7">
        <w:rPr>
          <w:rStyle w:val="EndnoteReference"/>
        </w:rPr>
        <w:endnoteRef/>
      </w:r>
      <w:r w:rsidRPr="00A613B7">
        <w:t xml:space="preserve"> G. Calzaferri, S. H. Gallagher, D. Br</w:t>
      </w:r>
      <w:r w:rsidRPr="00A613B7">
        <w:rPr>
          <w:rFonts w:cs="Times New Roman"/>
        </w:rPr>
        <w:t>ü</w:t>
      </w:r>
      <w:r w:rsidRPr="00A613B7">
        <w:t>hwiler,</w:t>
      </w:r>
      <w:r w:rsidRPr="00A613B7">
        <w:rPr>
          <w:rFonts w:cs="Times New Roman"/>
        </w:rPr>
        <w:t xml:space="preserve"> </w:t>
      </w:r>
      <w:r w:rsidR="007D35FC" w:rsidRPr="00A613B7">
        <w:rPr>
          <w:rFonts w:cs="Times New Roman"/>
        </w:rPr>
        <w:t xml:space="preserve">“Entropy in multiple equilibria. Argon and nitrogen adsorption isotherms of nonporous, microporous, and mesoporous materials,” </w:t>
      </w:r>
      <w:r w:rsidRPr="00A613B7">
        <w:rPr>
          <w:rFonts w:cs="Times New Roman"/>
          <w:i/>
          <w:iCs/>
        </w:rPr>
        <w:t>Microporous and Mesoporous Materials</w:t>
      </w:r>
      <w:r w:rsidRPr="00A613B7">
        <w:rPr>
          <w:rFonts w:cs="Times New Roman"/>
        </w:rPr>
        <w:t xml:space="preserve">, </w:t>
      </w:r>
      <w:r w:rsidRPr="005015DA">
        <w:rPr>
          <w:rFonts w:cs="Times New Roman"/>
          <w:b/>
          <w:bCs/>
        </w:rPr>
        <w:t>312</w:t>
      </w:r>
      <w:r w:rsidRPr="00A613B7">
        <w:rPr>
          <w:rFonts w:cs="Times New Roman"/>
        </w:rPr>
        <w:t xml:space="preserve"> (2021) 110744.</w:t>
      </w:r>
    </w:p>
  </w:endnote>
  <w:endnote w:id="27">
    <w:p w14:paraId="6C5C779F" w14:textId="7822D30F" w:rsidR="00BF4530" w:rsidRPr="00A613B7" w:rsidRDefault="00BF4530" w:rsidP="00ED2E15">
      <w:pPr>
        <w:rPr>
          <w:color w:val="000000" w:themeColor="text1"/>
        </w:rPr>
      </w:pPr>
      <w:r w:rsidRPr="00A613B7">
        <w:rPr>
          <w:rStyle w:val="EndnoteReference"/>
          <w:color w:val="000000" w:themeColor="text1"/>
        </w:rPr>
        <w:endnoteRef/>
      </w:r>
      <w:r w:rsidRPr="00A613B7">
        <w:rPr>
          <w:color w:val="000000" w:themeColor="text1"/>
        </w:rPr>
        <w:t xml:space="preserve"> </w:t>
      </w:r>
      <w:r w:rsidR="00037305" w:rsidRPr="00A613B7">
        <w:t xml:space="preserve">Rouquerol, J.; Llewellyn, P.; Rouquerol, F. (2007), "Is the </w:t>
      </w:r>
      <w:r w:rsidR="001E0F96" w:rsidRPr="00A613B7">
        <w:t>BET</w:t>
      </w:r>
      <w:r w:rsidR="00037305" w:rsidRPr="00A613B7">
        <w:t xml:space="preserve"> equation applicable to microporous adsorbents?"</w:t>
      </w:r>
      <w:r w:rsidR="00037305" w:rsidRPr="00A613B7">
        <w:rPr>
          <w:i/>
          <w:iCs/>
        </w:rPr>
        <w:t>, Studies in Surface Science and Catalysis,</w:t>
      </w:r>
      <w:r w:rsidR="00037305" w:rsidRPr="00A613B7">
        <w:t xml:space="preserve"> </w:t>
      </w:r>
      <w:r w:rsidR="00037305" w:rsidRPr="000F1497">
        <w:rPr>
          <w:b/>
          <w:bCs/>
        </w:rPr>
        <w:t>160</w:t>
      </w:r>
      <w:r w:rsidR="00037305" w:rsidRPr="00A613B7">
        <w:rPr>
          <w:i/>
          <w:iCs/>
        </w:rPr>
        <w:t xml:space="preserve">, </w:t>
      </w:r>
      <w:r w:rsidR="00037305" w:rsidRPr="00A613B7">
        <w:t>Elsevier, publishing, Amsterdam, (2007)</w:t>
      </w:r>
      <w:r w:rsidR="00037305" w:rsidRPr="00A613B7">
        <w:rPr>
          <w:i/>
          <w:iCs/>
        </w:rPr>
        <w:t xml:space="preserve"> 49–56, </w:t>
      </w:r>
      <w:hyperlink r:id="rId3" w:tooltip="Doi (identifier)" w:history="1">
        <w:r w:rsidR="00037305" w:rsidRPr="00A613B7">
          <w:rPr>
            <w:i/>
            <w:iCs/>
            <w:color w:val="0000FF"/>
            <w:u w:val="single"/>
          </w:rPr>
          <w:t>doi</w:t>
        </w:r>
      </w:hyperlink>
      <w:r w:rsidR="00037305" w:rsidRPr="00A613B7">
        <w:rPr>
          <w:i/>
          <w:iCs/>
        </w:rPr>
        <w:t>:</w:t>
      </w:r>
      <w:hyperlink r:id="rId4" w:history="1">
        <w:r w:rsidR="00037305" w:rsidRPr="00A613B7">
          <w:rPr>
            <w:i/>
            <w:iCs/>
            <w:color w:val="0000FF"/>
            <w:u w:val="single"/>
          </w:rPr>
          <w:t>10.1016/s0167-2991(07)80008-5</w:t>
        </w:r>
      </w:hyperlink>
      <w:r w:rsidR="00037305" w:rsidRPr="00A613B7">
        <w:rPr>
          <w:i/>
          <w:iCs/>
        </w:rPr>
        <w:t xml:space="preserve">, </w:t>
      </w:r>
      <w:hyperlink r:id="rId5" w:tooltip="ISBN (identifier)" w:history="1">
        <w:r w:rsidR="00037305" w:rsidRPr="00A613B7">
          <w:rPr>
            <w:i/>
            <w:iCs/>
            <w:color w:val="0000FF"/>
            <w:u w:val="single"/>
          </w:rPr>
          <w:t>ISBN</w:t>
        </w:r>
      </w:hyperlink>
      <w:r w:rsidR="00037305" w:rsidRPr="00A613B7">
        <w:rPr>
          <w:i/>
          <w:iCs/>
        </w:rPr>
        <w:t> </w:t>
      </w:r>
      <w:hyperlink r:id="rId6" w:tooltip="Special:BookSources/9780444520227" w:history="1">
        <w:r w:rsidR="00037305" w:rsidRPr="00A613B7">
          <w:rPr>
            <w:i/>
            <w:iCs/>
            <w:color w:val="0000FF"/>
            <w:u w:val="single"/>
          </w:rPr>
          <w:t>9780444520227</w:t>
        </w:r>
      </w:hyperlink>
      <w:r w:rsidRPr="00A613B7">
        <w:rPr>
          <w:color w:val="000000" w:themeColor="text1"/>
        </w:rPr>
        <w:t>.</w:t>
      </w:r>
    </w:p>
  </w:endnote>
  <w:endnote w:id="28">
    <w:p w14:paraId="1AC9C4E7" w14:textId="72D6CB77" w:rsidR="00F24157" w:rsidRPr="00A613B7" w:rsidRDefault="00F24157" w:rsidP="00ED2E15">
      <w:r w:rsidRPr="00A613B7">
        <w:rPr>
          <w:rStyle w:val="EndnoteReference"/>
        </w:rPr>
        <w:endnoteRef/>
      </w:r>
      <w:r w:rsidRPr="00A613B7">
        <w:t xml:space="preserve"> J. Adolphs, M. J. Setzer,</w:t>
      </w:r>
      <w:r w:rsidR="00D82764" w:rsidRPr="00A613B7">
        <w:t xml:space="preserve"> “A Model to Describe Adsorption Isotherms,” </w:t>
      </w:r>
      <w:r w:rsidRPr="00A613B7">
        <w:rPr>
          <w:i/>
          <w:iCs/>
        </w:rPr>
        <w:t>Colloid Interface Sci.</w:t>
      </w:r>
      <w:r w:rsidRPr="00A613B7">
        <w:t xml:space="preserve"> </w:t>
      </w:r>
      <w:r w:rsidRPr="005015DA">
        <w:rPr>
          <w:b/>
          <w:bCs/>
        </w:rPr>
        <w:t>180</w:t>
      </w:r>
      <w:r w:rsidRPr="00A613B7">
        <w:t xml:space="preserve"> (1996) 70.</w:t>
      </w:r>
    </w:p>
  </w:endnote>
  <w:endnote w:id="29">
    <w:p w14:paraId="5ECB25A5" w14:textId="45A3AFBE" w:rsidR="00F24157" w:rsidRPr="00A613B7" w:rsidRDefault="00F24157" w:rsidP="00ED2E15">
      <w:r w:rsidRPr="00A613B7">
        <w:rPr>
          <w:rStyle w:val="EndnoteReference"/>
        </w:rPr>
        <w:endnoteRef/>
      </w:r>
      <w:r w:rsidRPr="00A613B7">
        <w:t xml:space="preserve"> J. Adolphs, M. J. Setzer, </w:t>
      </w:r>
      <w:bookmarkStart w:id="23" w:name="_Hlk169424449"/>
      <w:r w:rsidR="00D82764" w:rsidRPr="00A613B7">
        <w:t>“</w:t>
      </w:r>
      <w:r w:rsidR="00B4379F" w:rsidRPr="00A613B7">
        <w:t>Description of Gas Adsorption Isotherms on Porous and Dispersed Systems with the Excess Surface Work Model</w:t>
      </w:r>
      <w:r w:rsidR="00D82764" w:rsidRPr="00A613B7">
        <w:t>,”</w:t>
      </w:r>
      <w:bookmarkEnd w:id="23"/>
      <w:r w:rsidR="00D82764" w:rsidRPr="00A613B7">
        <w:t xml:space="preserve"> </w:t>
      </w:r>
      <w:r w:rsidRPr="00A613B7">
        <w:rPr>
          <w:i/>
          <w:iCs/>
        </w:rPr>
        <w:t>Colloid Interface Sci.</w:t>
      </w:r>
      <w:r w:rsidRPr="00A613B7">
        <w:t xml:space="preserve"> </w:t>
      </w:r>
      <w:r w:rsidRPr="00A613B7">
        <w:rPr>
          <w:b/>
          <w:bCs/>
        </w:rPr>
        <w:t>207</w:t>
      </w:r>
      <w:r w:rsidRPr="00A613B7">
        <w:t xml:space="preserve"> (1998) 349.</w:t>
      </w:r>
    </w:p>
  </w:endnote>
  <w:endnote w:id="30">
    <w:p w14:paraId="34C0AF96" w14:textId="4E7A2E63" w:rsidR="00C22D84" w:rsidRPr="00A613B7" w:rsidRDefault="00C22D84" w:rsidP="00ED2E15">
      <w:r w:rsidRPr="00A613B7">
        <w:rPr>
          <w:rStyle w:val="EndnoteReference"/>
          <w:b/>
          <w:bCs/>
        </w:rPr>
        <w:endnoteRef/>
      </w:r>
      <w:r w:rsidRPr="00A613B7">
        <w:t xml:space="preserve"> M. Krug, M. Jaroniec and J. Olivier,</w:t>
      </w:r>
      <w:r w:rsidR="00602E1B" w:rsidRPr="00A613B7">
        <w:t xml:space="preserve"> “</w:t>
      </w:r>
      <w:hyperlink r:id="rId7" w:history="1">
        <w:r w:rsidR="00602E1B" w:rsidRPr="00A613B7">
          <w:rPr>
            <w:u w:val="single"/>
          </w:rPr>
          <w:t>Standard Nitrogen Adsorption Data for Characterization of Nanoporous Silicas</w:t>
        </w:r>
      </w:hyperlink>
      <w:r w:rsidR="00602E1B" w:rsidRPr="00A613B7">
        <w:t>,”</w:t>
      </w:r>
      <w:r w:rsidRPr="00A613B7">
        <w:t xml:space="preserve"> </w:t>
      </w:r>
      <w:r w:rsidRPr="00A613B7">
        <w:rPr>
          <w:i/>
          <w:iCs/>
        </w:rPr>
        <w:t>Langmuir</w:t>
      </w:r>
      <w:r w:rsidRPr="00A613B7">
        <w:t xml:space="preserve"> </w:t>
      </w:r>
      <w:r w:rsidRPr="005015DA">
        <w:rPr>
          <w:b/>
          <w:bCs/>
        </w:rPr>
        <w:t>15,16</w:t>
      </w:r>
      <w:r w:rsidRPr="00A613B7">
        <w:t xml:space="preserve"> (1999) 5410-5414</w:t>
      </w:r>
      <w:r w:rsidR="00C20611" w:rsidRPr="00A613B7">
        <w:t xml:space="preserve"> #</w:t>
      </w:r>
      <w:r w:rsidRPr="00A613B7">
        <w:t>la990136e</w:t>
      </w:r>
    </w:p>
  </w:endnote>
  <w:endnote w:id="31">
    <w:p w14:paraId="7336D5CC" w14:textId="5480EEE3" w:rsidR="00FA5F48" w:rsidRPr="00A613B7" w:rsidRDefault="00FA5F48" w:rsidP="00ED2E15">
      <w:pPr>
        <w:rPr>
          <w:color w:val="C00000"/>
        </w:rPr>
      </w:pPr>
      <w:r w:rsidRPr="00A613B7">
        <w:rPr>
          <w:rStyle w:val="EndnoteReference"/>
        </w:rPr>
        <w:endnoteRef/>
      </w:r>
      <w:r w:rsidRPr="00A613B7">
        <w:t xml:space="preserve"> </w:t>
      </w:r>
      <w:r w:rsidR="00B033B0" w:rsidRPr="00A613B7">
        <w:t xml:space="preserve">J. H. </w:t>
      </w:r>
      <w:r w:rsidRPr="00A613B7">
        <w:t xml:space="preserve">Deboer and </w:t>
      </w:r>
      <w:r w:rsidR="00B033B0" w:rsidRPr="00A613B7">
        <w:t xml:space="preserve">C. </w:t>
      </w:r>
      <w:r w:rsidRPr="00A613B7">
        <w:t>Zwikker,</w:t>
      </w:r>
      <w:r w:rsidR="00B033B0" w:rsidRPr="00A613B7">
        <w:t xml:space="preserve"> </w:t>
      </w:r>
      <w:r w:rsidR="00C476CE" w:rsidRPr="00A613B7">
        <w:t xml:space="preserve">“Adsorption als Folge von Polarisation Die Adsorptionsisotherme,” </w:t>
      </w:r>
      <w:r w:rsidR="00B033B0" w:rsidRPr="00A613B7">
        <w:t xml:space="preserve">Z. Phys. Chem. </w:t>
      </w:r>
      <w:r w:rsidR="00B033B0" w:rsidRPr="005015DA">
        <w:rPr>
          <w:b/>
          <w:bCs/>
        </w:rPr>
        <w:t>B3</w:t>
      </w:r>
      <w:r w:rsidR="00B033B0" w:rsidRPr="00A613B7">
        <w:t xml:space="preserve"> (1929) 407</w:t>
      </w:r>
    </w:p>
  </w:endnote>
  <w:endnote w:id="32">
    <w:p w14:paraId="4D2C3E4A" w14:textId="15B92485" w:rsidR="00FA5F48" w:rsidRPr="00A613B7" w:rsidRDefault="00FA5F48" w:rsidP="00ED2E15">
      <w:r w:rsidRPr="00A613B7">
        <w:rPr>
          <w:rStyle w:val="EndnoteReference"/>
        </w:rPr>
        <w:endnoteRef/>
      </w:r>
      <w:r w:rsidRPr="00A613B7">
        <w:t xml:space="preserve">  </w:t>
      </w:r>
      <w:r w:rsidR="00D6643A" w:rsidRPr="00A613B7">
        <w:t>E. L. Fuller and F.A. Agron, “The reactions of atmospheric vapor with lunar soils,” US Department of Energy Report DOE ORNL-5129 (UC-346), Department of Energy, Oak Ridge, TN (1976)</w:t>
      </w:r>
    </w:p>
  </w:endnote>
  <w:endnote w:id="33">
    <w:p w14:paraId="355E8389" w14:textId="493D30AB" w:rsidR="00797CA8" w:rsidRPr="00A613B7" w:rsidRDefault="00797CA8" w:rsidP="00ED2E15">
      <w:pPr>
        <w:rPr>
          <w:rFonts w:cs="Times New Roman"/>
        </w:rPr>
      </w:pPr>
      <w:r w:rsidRPr="00A613B7">
        <w:rPr>
          <w:rStyle w:val="EndnoteReference"/>
          <w:rFonts w:cs="Times New Roman"/>
        </w:rPr>
        <w:endnoteRef/>
      </w:r>
      <w:r w:rsidRPr="00A613B7">
        <w:rPr>
          <w:rFonts w:cs="Times New Roman"/>
        </w:rPr>
        <w:t xml:space="preserve"> P.</w:t>
      </w:r>
      <w:r w:rsidR="005C30A1" w:rsidRPr="00A613B7">
        <w:rPr>
          <w:rFonts w:cs="Times New Roman"/>
        </w:rPr>
        <w:t xml:space="preserve"> </w:t>
      </w:r>
      <w:r w:rsidRPr="00A613B7">
        <w:rPr>
          <w:rFonts w:cs="Times New Roman"/>
        </w:rPr>
        <w:t>H.</w:t>
      </w:r>
      <w:r w:rsidR="005C30A1" w:rsidRPr="00A613B7">
        <w:rPr>
          <w:rFonts w:cs="Times New Roman"/>
        </w:rPr>
        <w:t xml:space="preserve"> </w:t>
      </w:r>
      <w:r w:rsidRPr="00A613B7">
        <w:rPr>
          <w:rFonts w:cs="Times New Roman"/>
        </w:rPr>
        <w:t>Emmett. S. Brunauer,</w:t>
      </w:r>
      <w:r w:rsidR="00E542E9" w:rsidRPr="00A613B7">
        <w:rPr>
          <w:rFonts w:cs="Times New Roman"/>
        </w:rPr>
        <w:t>”</w:t>
      </w:r>
      <w:r w:rsidR="00E542E9" w:rsidRPr="00A613B7">
        <w:rPr>
          <w:rFonts w:eastAsia="Times New Roman" w:cs="Times New Roman"/>
          <w:kern w:val="36"/>
          <w:lang w:eastAsia="en-US" w:bidi="ar-SA"/>
        </w:rPr>
        <w:t>The Use of Low Temperature van der Waals Adsorption Isotherms in Determining the Surface Area of Iron Synthetic Ammonia Catalysts</w:t>
      </w:r>
      <w:r w:rsidR="00E542E9" w:rsidRPr="00A613B7">
        <w:rPr>
          <w:rFonts w:cs="Times New Roman"/>
        </w:rPr>
        <w:t>,”</w:t>
      </w:r>
      <w:r w:rsidRPr="00A613B7">
        <w:rPr>
          <w:rFonts w:cs="Times New Roman"/>
        </w:rPr>
        <w:t xml:space="preserve"> J. Am</w:t>
      </w:r>
      <w:r w:rsidR="00E542E9" w:rsidRPr="00A613B7">
        <w:rPr>
          <w:rFonts w:cs="Times New Roman"/>
        </w:rPr>
        <w:t>.</w:t>
      </w:r>
      <w:r w:rsidRPr="00A613B7">
        <w:rPr>
          <w:rFonts w:cs="Times New Roman"/>
        </w:rPr>
        <w:t xml:space="preserve"> Chem. Soc, </w:t>
      </w:r>
      <w:r w:rsidRPr="005015DA">
        <w:rPr>
          <w:rFonts w:cs="Times New Roman"/>
          <w:b/>
          <w:bCs/>
        </w:rPr>
        <w:t>59</w:t>
      </w:r>
      <w:r w:rsidRPr="00A613B7">
        <w:rPr>
          <w:rFonts w:cs="Times New Roman"/>
        </w:rPr>
        <w:t xml:space="preserve"> (1937)1553.</w:t>
      </w:r>
    </w:p>
  </w:endnote>
  <w:endnote w:id="34">
    <w:p w14:paraId="683AA7E2" w14:textId="3548768A" w:rsidR="006A39FD" w:rsidRPr="00A613B7" w:rsidRDefault="006A39FD" w:rsidP="00ED2E15">
      <w:pPr>
        <w:rPr>
          <w:rFonts w:cs="Times New Roman"/>
          <w:color w:val="000000" w:themeColor="text1"/>
        </w:rPr>
      </w:pPr>
      <w:r w:rsidRPr="00A613B7">
        <w:rPr>
          <w:rStyle w:val="EndnoteReference"/>
          <w:color w:val="000000" w:themeColor="text1"/>
        </w:rPr>
        <w:endnoteRef/>
      </w:r>
      <w:r w:rsidRPr="00A613B7">
        <w:rPr>
          <w:color w:val="000000" w:themeColor="text1"/>
        </w:rPr>
        <w:t xml:space="preserve"> </w:t>
      </w:r>
      <w:r w:rsidRPr="00A613B7">
        <w:rPr>
          <w:rFonts w:eastAsiaTheme="minorHAnsi" w:cs="Times New Roman"/>
          <w:color w:val="000000" w:themeColor="text1"/>
          <w:kern w:val="0"/>
          <w:lang w:eastAsia="en-US" w:bidi="ar-SA"/>
        </w:rPr>
        <w:t>J. Silvestre-Albero, A. M. Silvestre-Albero, Philip L. Llewellyn,</w:t>
      </w:r>
      <w:r w:rsidR="007C778E" w:rsidRPr="00A613B7">
        <w:rPr>
          <w:rFonts w:eastAsiaTheme="minorHAnsi" w:cs="Times New Roman"/>
          <w:color w:val="000000" w:themeColor="text1"/>
          <w:kern w:val="0"/>
          <w:lang w:eastAsia="en-US" w:bidi="ar-SA"/>
        </w:rPr>
        <w:t xml:space="preserve"> </w:t>
      </w:r>
      <w:r w:rsidRPr="00A613B7">
        <w:rPr>
          <w:rFonts w:eastAsiaTheme="minorHAnsi" w:cs="Times New Roman"/>
          <w:color w:val="000000" w:themeColor="text1"/>
          <w:kern w:val="0"/>
          <w:lang w:eastAsia="en-US" w:bidi="ar-SA"/>
        </w:rPr>
        <w:t>and Francisco Rodríguez-Reinoso,</w:t>
      </w:r>
      <w:r w:rsidR="00E542E9" w:rsidRPr="00A613B7">
        <w:rPr>
          <w:rFonts w:eastAsiaTheme="minorHAnsi" w:cs="Times New Roman"/>
          <w:color w:val="000000" w:themeColor="text1"/>
          <w:kern w:val="0"/>
          <w:lang w:eastAsia="en-US" w:bidi="ar-SA"/>
        </w:rPr>
        <w:t xml:space="preserve"> “High-Resolution N</w:t>
      </w:r>
      <w:r w:rsidR="00E542E9" w:rsidRPr="00A613B7">
        <w:rPr>
          <w:rFonts w:eastAsiaTheme="minorHAnsi" w:cs="Times New Roman"/>
          <w:color w:val="000000" w:themeColor="text1"/>
          <w:kern w:val="0"/>
          <w:vertAlign w:val="subscript"/>
          <w:lang w:eastAsia="en-US" w:bidi="ar-SA"/>
        </w:rPr>
        <w:t>2</w:t>
      </w:r>
      <w:r w:rsidR="00E542E9" w:rsidRPr="00A613B7">
        <w:rPr>
          <w:rFonts w:eastAsiaTheme="minorHAnsi" w:cs="Times New Roman"/>
          <w:color w:val="000000" w:themeColor="text1"/>
          <w:kern w:val="0"/>
          <w:lang w:eastAsia="en-US" w:bidi="ar-SA"/>
        </w:rPr>
        <w:t xml:space="preserve"> Adsorption Isotherms at 77.4 K: Critical Effect of the He Used During Calibration,”</w:t>
      </w:r>
      <w:r w:rsidRPr="00A613B7">
        <w:rPr>
          <w:rFonts w:eastAsiaTheme="minorHAnsi" w:cs="Times New Roman"/>
          <w:color w:val="000000" w:themeColor="text1"/>
          <w:kern w:val="0"/>
          <w:lang w:eastAsia="en-US" w:bidi="ar-SA"/>
        </w:rPr>
        <w:t xml:space="preserve"> </w:t>
      </w:r>
      <w:r w:rsidRPr="00A613B7">
        <w:rPr>
          <w:rFonts w:eastAsiaTheme="minorHAnsi" w:cs="Times New Roman"/>
          <w:i/>
          <w:iCs/>
          <w:color w:val="000000" w:themeColor="text1"/>
          <w:kern w:val="0"/>
          <w:lang w:eastAsia="en-US" w:bidi="ar-SA"/>
        </w:rPr>
        <w:t>J. Phys. Chem.</w:t>
      </w:r>
      <w:r w:rsidRPr="00A613B7">
        <w:rPr>
          <w:rFonts w:eastAsiaTheme="minorHAnsi" w:cs="Times New Roman"/>
          <w:color w:val="000000" w:themeColor="text1"/>
          <w:kern w:val="0"/>
          <w:lang w:eastAsia="en-US" w:bidi="ar-SA"/>
        </w:rPr>
        <w:t>, C</w:t>
      </w:r>
      <w:r w:rsidR="005015DA">
        <w:rPr>
          <w:rFonts w:eastAsiaTheme="minorHAnsi" w:cs="Times New Roman"/>
          <w:color w:val="000000" w:themeColor="text1"/>
          <w:kern w:val="0"/>
          <w:lang w:eastAsia="en-US" w:bidi="ar-SA"/>
        </w:rPr>
        <w:t>,</w:t>
      </w:r>
      <w:r w:rsidRPr="00A613B7">
        <w:rPr>
          <w:rFonts w:eastAsiaTheme="minorHAnsi" w:cs="Times New Roman"/>
          <w:color w:val="000000" w:themeColor="text1"/>
          <w:kern w:val="0"/>
          <w:lang w:eastAsia="en-US" w:bidi="ar-SA"/>
        </w:rPr>
        <w:t xml:space="preserve"> </w:t>
      </w:r>
      <w:r w:rsidRPr="005015DA">
        <w:rPr>
          <w:rFonts w:eastAsiaTheme="minorHAnsi" w:cs="Times New Roman"/>
          <w:b/>
          <w:bCs/>
          <w:color w:val="000000" w:themeColor="text1"/>
          <w:kern w:val="0"/>
          <w:lang w:eastAsia="en-US" w:bidi="ar-SA"/>
        </w:rPr>
        <w:t>117</w:t>
      </w:r>
      <w:r w:rsidR="00E542E9" w:rsidRPr="00A613B7">
        <w:rPr>
          <w:rFonts w:eastAsiaTheme="minorHAnsi" w:cs="Times New Roman"/>
          <w:color w:val="000000" w:themeColor="text1"/>
          <w:kern w:val="0"/>
          <w:lang w:eastAsia="en-US" w:bidi="ar-SA"/>
        </w:rPr>
        <w:t xml:space="preserve"> (2013)</w:t>
      </w:r>
      <w:r w:rsidRPr="00A613B7">
        <w:rPr>
          <w:rFonts w:eastAsiaTheme="minorHAnsi" w:cs="Times New Roman"/>
          <w:color w:val="000000" w:themeColor="text1"/>
          <w:kern w:val="0"/>
          <w:lang w:eastAsia="en-US" w:bidi="ar-SA"/>
        </w:rPr>
        <w:t xml:space="preserve"> 16885</w:t>
      </w:r>
      <w:r w:rsidRPr="00A613B7">
        <w:rPr>
          <w:rFonts w:eastAsia="AdvOT8608a8d1+22" w:cs="Times New Roman"/>
          <w:color w:val="000000" w:themeColor="text1"/>
          <w:kern w:val="0"/>
          <w:lang w:eastAsia="en-US" w:bidi="ar-SA"/>
        </w:rPr>
        <w:t>−</w:t>
      </w:r>
      <w:r w:rsidRPr="00A613B7">
        <w:rPr>
          <w:rFonts w:eastAsiaTheme="minorHAnsi" w:cs="Times New Roman"/>
          <w:color w:val="000000" w:themeColor="text1"/>
          <w:kern w:val="0"/>
          <w:lang w:eastAsia="en-US" w:bidi="ar-SA"/>
        </w:rPr>
        <w:t>16889</w:t>
      </w:r>
    </w:p>
  </w:endnote>
  <w:endnote w:id="35">
    <w:p w14:paraId="2C0C6B47" w14:textId="377758CD" w:rsidR="00321D16" w:rsidRPr="00A613B7" w:rsidRDefault="00C0730F" w:rsidP="00ED2E15">
      <w:pPr>
        <w:rPr>
          <w:color w:val="000000" w:themeColor="text1"/>
        </w:rPr>
      </w:pPr>
      <w:r w:rsidRPr="00A613B7">
        <w:rPr>
          <w:rStyle w:val="EndnoteReference"/>
          <w:color w:val="000000" w:themeColor="text1"/>
        </w:rPr>
        <w:endnoteRef/>
      </w:r>
      <w:r w:rsidRPr="00A613B7">
        <w:rPr>
          <w:color w:val="000000" w:themeColor="text1"/>
        </w:rPr>
        <w:t xml:space="preserve"> C. Nguyen and D. D. Du,</w:t>
      </w:r>
      <w:r w:rsidR="00E542E9" w:rsidRPr="00A613B7">
        <w:rPr>
          <w:color w:val="000000" w:themeColor="text1"/>
        </w:rPr>
        <w:t xml:space="preserve"> “The Dubinin–Radushkevich equation and the underlying microscopic adsorption description,”</w:t>
      </w:r>
      <w:r w:rsidRPr="00A613B7">
        <w:rPr>
          <w:rFonts w:eastAsiaTheme="minorHAnsi" w:cs="Times New Roman"/>
          <w:color w:val="000000" w:themeColor="text1"/>
          <w:kern w:val="0"/>
          <w:lang w:eastAsia="en-US" w:bidi="ar-SA"/>
        </w:rPr>
        <w:t xml:space="preserve"> Carbon </w:t>
      </w:r>
      <w:r w:rsidRPr="005015DA">
        <w:rPr>
          <w:rFonts w:eastAsiaTheme="minorHAnsi" w:cs="Times New Roman"/>
          <w:b/>
          <w:bCs/>
          <w:color w:val="000000" w:themeColor="text1"/>
          <w:kern w:val="0"/>
          <w:lang w:eastAsia="en-US" w:bidi="ar-SA"/>
        </w:rPr>
        <w:t>39</w:t>
      </w:r>
      <w:r w:rsidRPr="00A613B7">
        <w:rPr>
          <w:rFonts w:eastAsiaTheme="minorHAnsi" w:cs="Times New Roman"/>
          <w:color w:val="000000" w:themeColor="text1"/>
          <w:kern w:val="0"/>
          <w:lang w:eastAsia="en-US" w:bidi="ar-SA"/>
        </w:rPr>
        <w:t xml:space="preserve"> (2001) 1327–1336</w:t>
      </w:r>
    </w:p>
  </w:endnote>
  <w:endnote w:id="36">
    <w:p w14:paraId="024B8370" w14:textId="743885F1" w:rsidR="007959AB" w:rsidRPr="00A613B7" w:rsidRDefault="007959AB" w:rsidP="00ED2E15">
      <w:pPr>
        <w:rPr>
          <w:color w:val="000000" w:themeColor="text1"/>
        </w:rPr>
      </w:pPr>
      <w:r w:rsidRPr="00A613B7">
        <w:rPr>
          <w:rStyle w:val="EndnoteReference"/>
          <w:color w:val="000000" w:themeColor="text1"/>
        </w:rPr>
        <w:endnoteRef/>
      </w:r>
      <w:r w:rsidRPr="00A613B7">
        <w:rPr>
          <w:color w:val="000000" w:themeColor="text1"/>
        </w:rPr>
        <w:t xml:space="preserve"> K. A. Thompson, Data reported in Am. Chem. Soc. 1982 meeting but rejected for publication.  Personal communication – data available.</w:t>
      </w:r>
    </w:p>
  </w:endnote>
  <w:endnote w:id="37">
    <w:p w14:paraId="1D439A2E" w14:textId="7C1AD8DC" w:rsidR="00101CBA" w:rsidRPr="00A613B7" w:rsidRDefault="00101CBA" w:rsidP="00ED2E15">
      <w:pPr>
        <w:rPr>
          <w:color w:val="000000" w:themeColor="text1"/>
        </w:rPr>
      </w:pPr>
      <w:r w:rsidRPr="00A613B7">
        <w:rPr>
          <w:rStyle w:val="EndnoteReference"/>
          <w:color w:val="000000" w:themeColor="text1"/>
        </w:rPr>
        <w:endnoteRef/>
      </w:r>
      <w:r w:rsidRPr="00A613B7">
        <w:rPr>
          <w:color w:val="000000" w:themeColor="text1"/>
        </w:rPr>
        <w:t xml:space="preserve"> K. A. Thompson, E. L. Fuller, Jr. and J. B. Condon, (1989) “Further Evidence Supporting the Autoshielding Physisorption Equation” 17th DOE Surface Studies Conference, Washington, DC: US Government Printing Office.  Rejected for publication.</w:t>
      </w:r>
      <w:r w:rsidR="004628F8" w:rsidRPr="00A613B7">
        <w:rPr>
          <w:color w:val="000000" w:themeColor="text1"/>
        </w:rPr>
        <w:t xml:space="preserve"> </w:t>
      </w:r>
      <w:r w:rsidR="00D82764" w:rsidRPr="00A613B7">
        <w:rPr>
          <w:color w:val="000000" w:themeColor="text1"/>
        </w:rPr>
        <w:t xml:space="preserve"> </w:t>
      </w:r>
    </w:p>
  </w:endnote>
  <w:endnote w:id="38">
    <w:p w14:paraId="457E8CA9" w14:textId="0DA26B9D" w:rsidR="000508B8" w:rsidRPr="00A613B7" w:rsidRDefault="000508B8" w:rsidP="00ED2E15">
      <w:pPr>
        <w:rPr>
          <w:color w:val="000000" w:themeColor="text1"/>
        </w:rPr>
      </w:pPr>
      <w:r w:rsidRPr="00A613B7">
        <w:rPr>
          <w:rStyle w:val="EndnoteReference"/>
          <w:color w:val="000000" w:themeColor="text1"/>
        </w:rPr>
        <w:endnoteRef/>
      </w:r>
      <w:r w:rsidRPr="00A613B7">
        <w:rPr>
          <w:color w:val="000000" w:themeColor="text1"/>
        </w:rPr>
        <w:t xml:space="preserve"> C. Buttersack, </w:t>
      </w:r>
      <w:r w:rsidR="003F1D60" w:rsidRPr="00A613B7">
        <w:rPr>
          <w:color w:val="000000" w:themeColor="text1"/>
        </w:rPr>
        <w:t xml:space="preserve">“Modeling of type II high-resolution sorption isotherms: Evaluation of different approaches,” </w:t>
      </w:r>
      <w:r w:rsidRPr="00A613B7">
        <w:rPr>
          <w:i/>
          <w:iCs/>
          <w:color w:val="000000" w:themeColor="text1"/>
        </w:rPr>
        <w:t>Colloids and Surfaces. A. Physicochemical and Engineering</w:t>
      </w:r>
      <w:r w:rsidRPr="00A613B7">
        <w:rPr>
          <w:color w:val="000000" w:themeColor="text1"/>
        </w:rPr>
        <w:t xml:space="preserve">, </w:t>
      </w:r>
      <w:r w:rsidRPr="005015DA">
        <w:rPr>
          <w:b/>
          <w:bCs/>
          <w:color w:val="000000" w:themeColor="text1"/>
        </w:rPr>
        <w:t>650</w:t>
      </w:r>
      <w:r w:rsidRPr="00A613B7">
        <w:rPr>
          <w:color w:val="000000" w:themeColor="text1"/>
        </w:rPr>
        <w:t>, (2022) 129489.</w:t>
      </w:r>
    </w:p>
  </w:endnote>
  <w:endnote w:id="39">
    <w:p w14:paraId="4C6E2E0C" w14:textId="77777777" w:rsidR="00D4022D" w:rsidRPr="00A613B7" w:rsidRDefault="00D4022D" w:rsidP="00D4022D">
      <w:r w:rsidRPr="00A613B7">
        <w:rPr>
          <w:rStyle w:val="EndnoteReference"/>
        </w:rPr>
        <w:endnoteRef/>
      </w:r>
      <w:r w:rsidRPr="00A613B7">
        <w:t xml:space="preserve"> M. Polanyi, “The Potential Theory of Adsorption,” </w:t>
      </w:r>
      <w:r w:rsidRPr="00A613B7">
        <w:rPr>
          <w:i/>
          <w:iCs/>
        </w:rPr>
        <w:t>Science</w:t>
      </w:r>
      <w:r w:rsidRPr="00A613B7">
        <w:t xml:space="preserve">, </w:t>
      </w:r>
      <w:r w:rsidRPr="005015DA">
        <w:rPr>
          <w:b/>
          <w:bCs/>
        </w:rPr>
        <w:t>141</w:t>
      </w:r>
      <w:r w:rsidRPr="00A613B7">
        <w:t xml:space="preserve">, (1963) 1010-1013. </w:t>
      </w:r>
    </w:p>
  </w:endnote>
  <w:endnote w:id="40">
    <w:p w14:paraId="2001C53B" w14:textId="435280A9" w:rsidR="00A67551" w:rsidRDefault="00A67551" w:rsidP="00ED2E15">
      <w:r w:rsidRPr="00A613B7">
        <w:rPr>
          <w:rStyle w:val="EndnoteReference"/>
        </w:rPr>
        <w:endnoteRef/>
      </w:r>
      <w:r w:rsidRPr="00A613B7">
        <w:t xml:space="preserve"> </w:t>
      </w:r>
      <w:r w:rsidR="000D3A7D" w:rsidRPr="00A613B7">
        <w:t>D. Fairen-Jimenez</w:t>
      </w:r>
      <w:r w:rsidR="00F46DD6" w:rsidRPr="00A613B7">
        <w:t xml:space="preserve"> (corresponding author</w:t>
      </w:r>
      <w:r w:rsidR="000D3A7D" w:rsidRPr="00A613B7">
        <w:t>,</w:t>
      </w:r>
      <w:r w:rsidR="00F46DD6" w:rsidRPr="00A613B7">
        <w:t>)</w:t>
      </w:r>
      <w:r w:rsidR="000D3A7D" w:rsidRPr="00A613B7">
        <w:t xml:space="preserve"> et al.</w:t>
      </w:r>
      <w:r w:rsidR="003F1D60" w:rsidRPr="00A613B7">
        <w:t>*</w:t>
      </w:r>
      <w:r w:rsidR="000D3A7D" w:rsidRPr="00A613B7">
        <w:t>,</w:t>
      </w:r>
      <w:r w:rsidR="003F1D60" w:rsidRPr="00A613B7">
        <w:t xml:space="preserve"> “How Reproducible are Surface Areas Calculated from the BET Equation?,</w:t>
      </w:r>
      <w:r w:rsidR="003F1D60">
        <w:t xml:space="preserve">” </w:t>
      </w:r>
      <w:r w:rsidR="000D3A7D" w:rsidRPr="000D3A7D">
        <w:t xml:space="preserve"> </w:t>
      </w:r>
      <w:r w:rsidR="000D3A7D" w:rsidRPr="00D82764">
        <w:rPr>
          <w:i/>
          <w:iCs/>
        </w:rPr>
        <w:t>Advance Materials</w:t>
      </w:r>
      <w:r w:rsidR="000D3A7D" w:rsidRPr="000D3A7D">
        <w:t xml:space="preserve">, </w:t>
      </w:r>
      <w:r w:rsidR="000D3A7D" w:rsidRPr="005015DA">
        <w:rPr>
          <w:b/>
          <w:bCs/>
        </w:rPr>
        <w:t>34(27)</w:t>
      </w:r>
      <w:r w:rsidR="000D3A7D" w:rsidRPr="00F46DD6">
        <w:t xml:space="preserve">, </w:t>
      </w:r>
      <w:r w:rsidR="003F1D60">
        <w:t>(</w:t>
      </w:r>
      <w:r w:rsidR="000D3A7D" w:rsidRPr="00F46DD6">
        <w:t>2022</w:t>
      </w:r>
      <w:r w:rsidR="003F1D60">
        <w:t>)</w:t>
      </w:r>
      <w:r w:rsidR="000D3A7D" w:rsidRPr="00F46DD6">
        <w:t xml:space="preserve"> 2201502+</w:t>
      </w:r>
    </w:p>
    <w:p w14:paraId="668CAC9B" w14:textId="6BDD38A8" w:rsidR="003F1D60" w:rsidRPr="00D82764" w:rsidRDefault="00D82764" w:rsidP="00ED2E15">
      <w:pPr>
        <w:rPr>
          <w:sz w:val="16"/>
          <w:szCs w:val="16"/>
        </w:rPr>
      </w:pPr>
      <w:r>
        <w:rPr>
          <w:sz w:val="16"/>
          <w:szCs w:val="16"/>
        </w:rPr>
        <w:t>*</w:t>
      </w:r>
      <w:r w:rsidR="005B6EF8">
        <w:rPr>
          <w:sz w:val="16"/>
          <w:szCs w:val="16"/>
        </w:rPr>
        <w:t xml:space="preserve">Full author list: </w:t>
      </w:r>
      <w:r w:rsidR="003F1D60" w:rsidRPr="00D82764">
        <w:rPr>
          <w:sz w:val="16"/>
          <w:szCs w:val="16"/>
        </w:rPr>
        <w:t>Johannes W. M. Osterrieth,  James Rampersad,  David Madden,  Nakul Rampal,  Luka Skoric,  Bethany Connolly,  Mark D. Allendorf,  Vitalie Stavila,  Jonathan L. Snider,  Rob Ameloot,  João Marreiros,  Conchi Ania,  Diana Azevedo,  Enrique Vilarrasa-Garcia,  Bianca F. Santos,  Xian-He Bu,  Ze Chang,  Hana Bunzen,  Neil R. Champness,  Sarah L. Griffin,  Banglin Chen,  Rui-Biao Lin,  Benoit Coasne,  Seth Cohen,  Jessica C. Moreton,  Yamil J. Colón,  Linjiang Chen,  Rob Clowes,  François-Xavier Coudert,  Yong Cui,  Bang Hou,  Deanna M. D'Alessandro,  Patrick W. Doheny,  Mircea Dincă,  Chenyue Sun,  Christian Doonan,  Michael Thomas Huxley,  Jack D. Evans,  Paolo Falcaro,  Raffaele Ricco,  Omar Farha,  Karam B. Idrees,  Timur Islamoglu,  Pingyun Feng,  Huajun Yang,  Ross S. Forgan,  Dominic Bara,  Shuhei Furukawa,  Eli Sanchez,  Jorge Gascon,  Selvedin Telalović,  Sujit K. Ghosh,  Soumya Mukherjee,  Matthew R. Hill,  Muhammed Munir Sadiq,  Patricia Horcajada,  Pablo Salcedo-Abraira,  Katsumi Kaneko,  Radovan Kukobat,  Jeff Kenvin,  Seda Keskin,  Susumu Kitagawa,  Ken-ichi Otake,  Ryan P. Lively,  Stephen J. A. DeWitt,  Phillip Llewellyn,  Bettina V. Lotsch,  Sebastian T. Emmerling,  Alexander M. Pütz,  Carlos Martí-Gastaldo,  Natalia M. Padial,  Javier García-Martínez,  Noemi Linares,  Daniel Maspoch,  Jose A. Suárez del Pino,  Peyman Moghadam,  Rama Oktavian,  Russel E. Morris,  Paul S. Wheatley,  Jorge Navarro,  Camille Petit,  David Danaci,  Matthew J. Rosseinsky,  Alexandros P. Katsoulidis,  Martin Schröder,  Xue Han,  Sihai Yang,  Christian Serre,  Georges Mouchaham,  David S. Sholl,  Raghuram Thyagarajan,  Daniel Siderius,  Randall Q. Snurr,  Rebecca B. Goncalves,  Shane Telfer,  Seok J. Lee,  Valeska P. Ting,  Jemma L. Rowlandson,  Takashi Uemura,  Tomoya Iiyuka,  Monique A. van der Veen,  Davide Rega,  Veronique Van Speybroeck,  Sven M. J. Rogge,  Aran Lamaire,  Krista S. Walton,  Lukas W. Bingel,  Stefan Wuttke,  Jacopo Andreo,  Omar Yaghi,  Bing Zhang,  Cafer T. Yavuz,  Thien S. Nguyen,  Felix Zamora,  Carmen Montoro,  Hongcai Zhou,  Angelo Kirchon,  David Fairen-Jimenez</w:t>
      </w:r>
    </w:p>
  </w:endnote>
  <w:endnote w:id="41">
    <w:p w14:paraId="24AEBDE2" w14:textId="2EC07642" w:rsidR="00A55F2D" w:rsidRPr="00A55F2D" w:rsidRDefault="00A55F2D">
      <w:pPr>
        <w:pStyle w:val="EndnoteText"/>
      </w:pPr>
      <w:r>
        <w:rPr>
          <w:rStyle w:val="EndnoteReference"/>
        </w:rPr>
        <w:endnoteRef/>
      </w:r>
      <w:r>
        <w:t xml:space="preserve"> I. Langmuir, “The Adsorption of Gases on Plane Surface of Glass, Mica and Platinum,” </w:t>
      </w:r>
      <w:r>
        <w:rPr>
          <w:i/>
          <w:iCs/>
        </w:rPr>
        <w:t xml:space="preserve">J. Am. Chem. Soc. </w:t>
      </w:r>
      <w:r>
        <w:rPr>
          <w:b/>
          <w:bCs/>
        </w:rPr>
        <w:t xml:space="preserve">40 </w:t>
      </w:r>
      <w:r>
        <w:t>(1918) 1361-1403.</w:t>
      </w:r>
    </w:p>
  </w:endnote>
  <w:endnote w:id="42">
    <w:p w14:paraId="5EDE2D40" w14:textId="6409C372" w:rsidR="00B92D25" w:rsidRDefault="00B92D25">
      <w:pPr>
        <w:pStyle w:val="EndnoteText"/>
      </w:pPr>
      <w:r>
        <w:rPr>
          <w:rStyle w:val="EndnoteReference"/>
        </w:rPr>
        <w:endnoteRef/>
      </w:r>
      <w:r>
        <w:t xml:space="preserve"> </w:t>
      </w:r>
      <w:r w:rsidR="00FB7832">
        <w:rPr>
          <w:rFonts w:cs="Times New Roman"/>
          <w:sz w:val="24"/>
          <w:szCs w:val="24"/>
        </w:rPr>
        <w:t xml:space="preserve">F. </w:t>
      </w:r>
      <w:r w:rsidR="00FB7832" w:rsidRPr="00736C13">
        <w:rPr>
          <w:rFonts w:cs="Times New Roman"/>
          <w:sz w:val="24"/>
          <w:szCs w:val="24"/>
        </w:rPr>
        <w:t>Goldmann, M. Polanyi</w:t>
      </w:r>
      <w:r w:rsidR="00FB7832">
        <w:rPr>
          <w:rFonts w:cs="Times New Roman"/>
          <w:sz w:val="24"/>
          <w:szCs w:val="24"/>
        </w:rPr>
        <w:t>, “</w:t>
      </w:r>
      <w:r w:rsidR="00FB7832">
        <w:rPr>
          <w:sz w:val="24"/>
          <w:szCs w:val="24"/>
          <w:lang w:val="en-CA"/>
        </w:rPr>
        <w:fldChar w:fldCharType="begin"/>
      </w:r>
      <w:r w:rsidR="00FB7832">
        <w:rPr>
          <w:sz w:val="24"/>
          <w:szCs w:val="24"/>
          <w:lang w:val="en-CA"/>
        </w:rPr>
        <w:instrText xml:space="preserve"> SEQ CHAPTER \h \r 1</w:instrText>
      </w:r>
      <w:r w:rsidR="00FB7832">
        <w:rPr>
          <w:sz w:val="24"/>
          <w:szCs w:val="24"/>
          <w:lang w:val="en-CA"/>
        </w:rPr>
        <w:fldChar w:fldCharType="end"/>
      </w:r>
      <w:r w:rsidR="00FB7832">
        <w:rPr>
          <w:sz w:val="24"/>
          <w:szCs w:val="24"/>
        </w:rPr>
        <w:t>Adsorption von Dämpfen an Kohle und die Wärmeausdehung der Benetzungsschicht</w:t>
      </w:r>
      <w:r w:rsidR="00FB7832">
        <w:rPr>
          <w:rFonts w:cs="Times New Roman"/>
          <w:sz w:val="24"/>
          <w:szCs w:val="24"/>
        </w:rPr>
        <w:t xml:space="preserve">,” </w:t>
      </w:r>
      <w:r w:rsidR="00FB7832" w:rsidRPr="001B28A4">
        <w:rPr>
          <w:rFonts w:cs="Times New Roman"/>
          <w:i/>
          <w:iCs/>
          <w:sz w:val="24"/>
          <w:szCs w:val="24"/>
        </w:rPr>
        <w:t>Z. Phys. Chem.</w:t>
      </w:r>
      <w:r w:rsidR="00FB7832">
        <w:rPr>
          <w:rFonts w:cs="Times New Roman"/>
          <w:sz w:val="24"/>
          <w:szCs w:val="24"/>
        </w:rPr>
        <w:t xml:space="preserve">, </w:t>
      </w:r>
      <w:r w:rsidR="00FB7832" w:rsidRPr="00736C13">
        <w:rPr>
          <w:rFonts w:cs="Times New Roman"/>
          <w:b/>
          <w:bCs/>
          <w:sz w:val="24"/>
          <w:szCs w:val="24"/>
        </w:rPr>
        <w:t>132</w:t>
      </w:r>
      <w:r w:rsidR="00FB7832">
        <w:rPr>
          <w:rFonts w:cs="Times New Roman"/>
          <w:b/>
          <w:bCs/>
          <w:sz w:val="24"/>
          <w:szCs w:val="24"/>
        </w:rPr>
        <w:t xml:space="preserve"> </w:t>
      </w:r>
      <w:r w:rsidR="00FB7832">
        <w:rPr>
          <w:rFonts w:cs="Times New Roman"/>
          <w:sz w:val="24"/>
          <w:szCs w:val="24"/>
        </w:rPr>
        <w:t>(1928) 321</w:t>
      </w:r>
      <w:r w:rsidR="00FB7832">
        <w:rPr>
          <w:rFonts w:cs="Times New Roman"/>
          <w:b/>
          <w:bCs/>
          <w:sz w:val="24"/>
          <w:szCs w:val="24"/>
        </w:rPr>
        <w:t xml:space="preserve"> </w:t>
      </w:r>
      <w:r w:rsidR="00FB7832">
        <w:rPr>
          <w:rFonts w:cs="Times New Roman"/>
          <w:sz w:val="24"/>
          <w:szCs w:val="24"/>
        </w:rPr>
        <w:t>.</w:t>
      </w:r>
    </w:p>
  </w:endnote>
  <w:endnote w:id="43">
    <w:p w14:paraId="4CA9B5A9" w14:textId="77777777" w:rsidR="00B5263E" w:rsidRDefault="00B5263E" w:rsidP="00B5263E">
      <w:pPr>
        <w:pStyle w:val="EndnoteText"/>
      </w:pPr>
      <w:r>
        <w:rPr>
          <w:rStyle w:val="EndnoteReference"/>
        </w:rPr>
        <w:endnoteRef/>
      </w:r>
      <w:r>
        <w:t xml:space="preserve"> </w:t>
      </w:r>
      <w:r w:rsidRPr="001A65DC">
        <w:rPr>
          <w:iCs/>
        </w:rPr>
        <w:t>Arthur W. Adamson</w:t>
      </w:r>
      <w:r>
        <w:t>, “Physical Chemistry of Surfaces,2</w:t>
      </w:r>
      <w:r w:rsidRPr="001A65DC">
        <w:rPr>
          <w:vertAlign w:val="superscript"/>
        </w:rPr>
        <w:t>nd</w:t>
      </w:r>
      <w:r>
        <w:t xml:space="preserve"> Edition,” </w:t>
      </w:r>
      <w:r>
        <w:rPr>
          <w:iCs/>
        </w:rPr>
        <w:t>C</w:t>
      </w:r>
      <w:r w:rsidRPr="001A65DC">
        <w:rPr>
          <w:iCs/>
        </w:rPr>
        <w:t xml:space="preserve">hapter XIII </w:t>
      </w:r>
      <w:r>
        <w:rPr>
          <w:iCs/>
        </w:rPr>
        <w:t>sections 7-9, Interscience Publishers, John Wiley and Sons, New York (1967) pp595-607.</w:t>
      </w:r>
    </w:p>
  </w:endnote>
  <w:endnote w:id="44">
    <w:p w14:paraId="2B738F19" w14:textId="77777777" w:rsidR="00B5263E" w:rsidRPr="002A2421" w:rsidRDefault="00B5263E" w:rsidP="00B5263E">
      <w:pPr>
        <w:pStyle w:val="EndnoteText"/>
        <w:rPr>
          <w:b/>
          <w:bCs/>
        </w:rPr>
      </w:pPr>
      <w:r>
        <w:rPr>
          <w:rStyle w:val="EndnoteReference"/>
        </w:rPr>
        <w:endnoteRef/>
      </w:r>
      <w:r>
        <w:t xml:space="preserve"> A. G. Keeton, J. M. Holmes, “</w:t>
      </w:r>
      <w:r w:rsidRPr="002A2421">
        <w:rPr>
          <w:iCs/>
        </w:rPr>
        <w:t>The Adsorption. of Nitrogen, Argon, and Oxygen on</w:t>
      </w:r>
      <w:r>
        <w:rPr>
          <w:iCs/>
        </w:rPr>
        <w:t xml:space="preserve"> </w:t>
      </w:r>
      <w:r w:rsidRPr="002A2421">
        <w:rPr>
          <w:iCs/>
        </w:rPr>
        <w:t>Potassium Chloride at 78-90°K</w:t>
      </w:r>
      <w:r>
        <w:rPr>
          <w:iCs/>
        </w:rPr>
        <w:t>,</w:t>
      </w:r>
      <w:r>
        <w:t xml:space="preserve">” J. Phys. and Colloid Chem. (J. Phys. Chem.), </w:t>
      </w:r>
      <w:r w:rsidRPr="002A2421">
        <w:rPr>
          <w:b/>
          <w:bCs/>
          <w:iCs/>
        </w:rPr>
        <w:t>53</w:t>
      </w:r>
      <w:r>
        <w:rPr>
          <w:b/>
          <w:bCs/>
          <w:iCs/>
        </w:rPr>
        <w:t xml:space="preserve"> </w:t>
      </w:r>
      <w:r w:rsidRPr="002A2421">
        <w:rPr>
          <w:iCs/>
        </w:rPr>
        <w:t>(1949) 1309-1320.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dvOT8608a8d1+22">
    <w:altName w:val="Microsoft YaHei"/>
    <w:panose1 w:val="00000000000000000000"/>
    <w:charset w:val="86"/>
    <w:family w:val="auto"/>
    <w:notTrueType/>
    <w:pitch w:val="default"/>
    <w:sig w:usb0="00000001" w:usb1="080E0000" w:usb2="00000010" w:usb3="00000000" w:csb0="00040000" w:csb1="00000000"/>
  </w:font>
  <w:font w:name="AvantGarde Bk BT">
    <w:panose1 w:val="020B0402020202020204"/>
    <w:charset w:val="00"/>
    <w:family w:val="swiss"/>
    <w:pitch w:val="variable"/>
    <w:sig w:usb0="00000087" w:usb1="00000000" w:usb2="00000000" w:usb3="00000000" w:csb0="0000001B" w:csb1="00000000"/>
  </w:font>
  <w:font w:name="WP MathA">
    <w:panose1 w:val="05010101010101010101"/>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43CE7" w14:textId="77777777" w:rsidR="00F743C9" w:rsidRDefault="00F743C9" w:rsidP="00C178E0">
      <w:r>
        <w:separator/>
      </w:r>
    </w:p>
  </w:footnote>
  <w:footnote w:type="continuationSeparator" w:id="0">
    <w:p w14:paraId="53525F6A" w14:textId="77777777" w:rsidR="00F743C9" w:rsidRDefault="00F743C9" w:rsidP="00C178E0">
      <w:r>
        <w:continuationSeparator/>
      </w:r>
    </w:p>
  </w:footnote>
  <w:footnote w:id="1">
    <w:p w14:paraId="2F85FCEE" w14:textId="77777777" w:rsidR="00C8234A" w:rsidRDefault="00C8234A" w:rsidP="00C8234A">
      <w:pPr>
        <w:pStyle w:val="FootnoteText"/>
      </w:pPr>
      <w:r>
        <w:rPr>
          <w:rStyle w:val="FootnoteReference"/>
        </w:rPr>
        <w:footnoteRef/>
      </w:r>
      <w:r>
        <w:t xml:space="preserve"> Professor Emeritus from Tennessee Regents’ College and University System.</w:t>
      </w:r>
    </w:p>
    <w:p w14:paraId="4244FCE5" w14:textId="12B3D57F" w:rsidR="00C8234A" w:rsidRDefault="00C8234A" w:rsidP="00C8234A">
      <w:pPr>
        <w:pStyle w:val="FootnoteText"/>
      </w:pPr>
      <w:r>
        <w:t>email:  Physisorption@genc</w:t>
      </w:r>
      <w:r w:rsidR="00A9273F">
        <w:t>h</w:t>
      </w:r>
      <w:r>
        <w:t>em.net</w:t>
      </w:r>
    </w:p>
  </w:footnote>
  <w:footnote w:id="2">
    <w:p w14:paraId="1BB60D77" w14:textId="391A6E52" w:rsidR="008813AF" w:rsidRDefault="008813AF">
      <w:pPr>
        <w:pStyle w:val="FootnoteText"/>
      </w:pPr>
      <w:r>
        <w:rPr>
          <w:rStyle w:val="FootnoteReference"/>
        </w:rPr>
        <w:footnoteRef/>
      </w:r>
      <w:r>
        <w:t xml:space="preserve"> Professor Emeritus from Tennessee Regents’ College and University System.</w:t>
      </w:r>
    </w:p>
    <w:p w14:paraId="343A2378" w14:textId="0BF7387F" w:rsidR="00CE6899" w:rsidRDefault="00CE6899">
      <w:pPr>
        <w:pStyle w:val="FootnoteText"/>
      </w:pPr>
      <w:r>
        <w:t>email:  Physisorption@gencem.net</w:t>
      </w:r>
    </w:p>
  </w:footnote>
  <w:footnote w:id="3">
    <w:p w14:paraId="7958FC0A" w14:textId="3824716B" w:rsidR="00FE7048" w:rsidRDefault="00FE7048">
      <w:pPr>
        <w:pStyle w:val="FootnoteText"/>
      </w:pPr>
      <w:r>
        <w:rPr>
          <w:rStyle w:val="FootnoteReference"/>
        </w:rPr>
        <w:footnoteRef/>
      </w:r>
      <w:r>
        <w:t xml:space="preserve"> This portion of discussion to the very heart of the definition of science that has firmed up in the 20</w:t>
      </w:r>
      <w:r w:rsidRPr="00FE7048">
        <w:rPr>
          <w:vertAlign w:val="superscript"/>
        </w:rPr>
        <w:t>th</w:t>
      </w:r>
      <w:r>
        <w:t xml:space="preserve"> century.</w:t>
      </w:r>
    </w:p>
  </w:footnote>
  <w:footnote w:id="4">
    <w:p w14:paraId="56F5D7B7" w14:textId="3C39A0A8" w:rsidR="00804473" w:rsidRDefault="00804473">
      <w:pPr>
        <w:pStyle w:val="FootnoteText"/>
      </w:pPr>
      <w:r>
        <w:rPr>
          <w:rStyle w:val="FootnoteReference"/>
        </w:rPr>
        <w:footnoteRef/>
      </w:r>
      <w:r>
        <w:t xml:space="preserve"> Investigators should not leave reasoning and logic of physics behind a let statistics dictate decisions.  For example, correlation is not the same as cause.</w:t>
      </w:r>
    </w:p>
  </w:footnote>
  <w:footnote w:id="5">
    <w:p w14:paraId="19EF3379" w14:textId="487BDC0D" w:rsidR="006E0FFB" w:rsidRDefault="006E0FFB">
      <w:pPr>
        <w:pStyle w:val="FootnoteText"/>
      </w:pPr>
      <w:r>
        <w:rPr>
          <w:rStyle w:val="FootnoteReference"/>
        </w:rPr>
        <w:footnoteRef/>
      </w:r>
      <w:r>
        <w:t xml:space="preserve"> </w:t>
      </w:r>
      <w:r>
        <w:rPr>
          <w:rFonts w:cs="Times New Roman"/>
        </w:rPr>
        <w:t>A third disqualifier is if the theory predicts an anomaly.  In the normal transform method of the BET analysis, the BET does yield an anomaly.  Getting around this creates other mathematical problems.  This is not presented here to av</w:t>
      </w:r>
      <w:r w:rsidR="00947B57">
        <w:rPr>
          <w:rFonts w:cs="Times New Roman"/>
        </w:rPr>
        <w:t>o</w:t>
      </w:r>
      <w:r>
        <w:rPr>
          <w:rFonts w:cs="Times New Roman"/>
        </w:rPr>
        <w:t>i</w:t>
      </w:r>
      <w:r w:rsidR="00947B57">
        <w:rPr>
          <w:rFonts w:cs="Times New Roman"/>
        </w:rPr>
        <w:t>d</w:t>
      </w:r>
      <w:r>
        <w:rPr>
          <w:rFonts w:cs="Times New Roman"/>
        </w:rPr>
        <w:t xml:space="preserve"> a long, complicated and perhaps endless mathematical argument.</w:t>
      </w:r>
    </w:p>
  </w:footnote>
  <w:footnote w:id="6">
    <w:p w14:paraId="125C79A4" w14:textId="4EA64687" w:rsidR="00D92DC1" w:rsidRDefault="00D92DC1">
      <w:pPr>
        <w:pStyle w:val="FootnoteText"/>
      </w:pPr>
      <w:r>
        <w:rPr>
          <w:rStyle w:val="FootnoteReference"/>
        </w:rPr>
        <w:footnoteRef/>
      </w:r>
      <w:r>
        <w:t xml:space="preserve"> </w:t>
      </w:r>
      <w:r w:rsidRPr="00D92DC1">
        <w:t xml:space="preserve">Unfortunately, Professor Larese die before we could put the course on.  It is available up to the point of Prof. Larese’ passing, which is as far as I went on the internet.  Available at https://www.genchem.net/Lessons_in_Chi_hypothesis.pdf or follow link “Chi” from </w:t>
      </w:r>
      <w:proofErr w:type="gramStart"/>
      <w:r w:rsidR="002B5EAC" w:rsidRPr="00D92DC1">
        <w:t>https://www.genchem.net/</w:t>
      </w:r>
      <w:r w:rsidR="002B5EAC">
        <w:t xml:space="preserve">  </w:t>
      </w:r>
      <w:r w:rsidR="002B5EAC" w:rsidRPr="00D92DC1">
        <w:t>.</w:t>
      </w:r>
      <w:proofErr w:type="gramEnd"/>
      <w:r w:rsidRPr="00D92DC1">
        <w:t xml:space="preserve">  It is also available on </w:t>
      </w:r>
      <w:r w:rsidR="002B5EAC" w:rsidRPr="00D92DC1">
        <w:t>ResearchGate.com.</w:t>
      </w:r>
      <w:r w:rsidRPr="00D92DC1">
        <w:t xml:space="preserve">  </w:t>
      </w:r>
    </w:p>
  </w:footnote>
  <w:footnote w:id="7">
    <w:p w14:paraId="1E97D475" w14:textId="11816100" w:rsidR="00162354" w:rsidRDefault="00162354" w:rsidP="00162354">
      <w:pPr>
        <w:pStyle w:val="FootnoteText"/>
      </w:pPr>
      <w:r>
        <w:rPr>
          <w:rStyle w:val="FootnoteReference"/>
        </w:rPr>
        <w:footnoteRef/>
      </w:r>
      <w:r>
        <w:t xml:space="preserve"> </w:t>
      </w:r>
      <w:proofErr w:type="gramStart"/>
      <w:r w:rsidR="00292D9C">
        <w:t>A</w:t>
      </w:r>
      <w:proofErr w:type="gramEnd"/>
      <w:r w:rsidR="00292D9C">
        <w:t xml:space="preserve"> </w:t>
      </w:r>
      <w:r>
        <w:t>IUPAC standard for physical adsorption</w:t>
      </w:r>
      <w:r w:rsidR="0028422F">
        <w:t xml:space="preserve"> ha</w:t>
      </w:r>
      <w:r w:rsidR="000337E5">
        <w:t>d</w:t>
      </w:r>
      <w:r>
        <w:t xml:space="preserve"> require</w:t>
      </w:r>
      <w:r w:rsidR="0028422F">
        <w:t>d that</w:t>
      </w:r>
      <w:r>
        <w:t xml:space="preserve"> any physical adsorption theory </w:t>
      </w:r>
      <w:r w:rsidR="00564AB5">
        <w:t xml:space="preserve">must </w:t>
      </w:r>
      <w:r>
        <w:t xml:space="preserve">follow “Henrys Law” to be valid.  </w:t>
      </w:r>
      <w:r w:rsidR="00986DDF">
        <w:t xml:space="preserve">After 12 years this is requirement was withdrawn.  </w:t>
      </w:r>
      <w:r>
        <w:t xml:space="preserve">This is problematic because it says that it is not proper to question the BET theory </w:t>
      </w:r>
      <w:r w:rsidR="00564AB5">
        <w:t>n</w:t>
      </w:r>
      <w:r>
        <w:t xml:space="preserve">or to even test “Henrys Law” legitimately.  In this case, even if </w:t>
      </w:r>
      <w:r w:rsidR="003C6A7F">
        <w:t>“</w:t>
      </w:r>
      <w:r>
        <w:t>Henry’s Law</w:t>
      </w:r>
      <w:r w:rsidR="003C6A7F">
        <w:t>”</w:t>
      </w:r>
      <w:r>
        <w:t xml:space="preserve"> is always followed, the IUPAC committee </w:t>
      </w:r>
      <w:r w:rsidR="00292D9C">
        <w:t>wa</w:t>
      </w:r>
      <w:r>
        <w:t>s out of line.  It is not their responsibility to declare such a thing but rather the accumulation of experimental evidence that determine</w:t>
      </w:r>
      <w:r w:rsidR="00564AB5">
        <w:t>s</w:t>
      </w:r>
      <w:r>
        <w:t xml:space="preserve"> this.</w:t>
      </w:r>
    </w:p>
  </w:footnote>
  <w:footnote w:id="8">
    <w:p w14:paraId="3B55CA19" w14:textId="35B7301F" w:rsidR="00E151A4" w:rsidRDefault="001E0A79">
      <w:pPr>
        <w:pStyle w:val="FootnoteText"/>
      </w:pPr>
      <w:r>
        <w:rPr>
          <w:rStyle w:val="FootnoteReference"/>
        </w:rPr>
        <w:footnoteRef/>
      </w:r>
      <w:r>
        <w:t xml:space="preserve"> </w:t>
      </w:r>
      <w:r w:rsidR="00E151A4">
        <w:t xml:space="preserve">To keep from being accused </w:t>
      </w:r>
      <w:r w:rsidR="0045276D">
        <w:t xml:space="preserve">of </w:t>
      </w:r>
      <w:r w:rsidR="002C19B1">
        <w:t xml:space="preserve">bias by </w:t>
      </w:r>
      <w:r w:rsidR="00E151A4">
        <w:t xml:space="preserve">presenting data that I generated, I </w:t>
      </w:r>
      <w:r w:rsidR="0045276D">
        <w:t xml:space="preserve">have </w:t>
      </w:r>
      <w:r w:rsidR="00E151A4">
        <w:t>use</w:t>
      </w:r>
      <w:r w:rsidR="0045276D">
        <w:t>d</w:t>
      </w:r>
      <w:r w:rsidR="00E151A4">
        <w:t xml:space="preserve"> other investigators data, open in the literature where possible</w:t>
      </w:r>
      <w:r w:rsidR="0045276D">
        <w:t>,</w:t>
      </w:r>
      <w:r w:rsidR="00E151A4">
        <w:t xml:space="preserve"> to make points.  For the “Henry’s Law” section there are difficulties propagated by a</w:t>
      </w:r>
      <w:r w:rsidR="003A6D87">
        <w:t xml:space="preserve"> (temporary)</w:t>
      </w:r>
      <w:r w:rsidR="00E151A4">
        <w:t xml:space="preserve"> IUPAC decision </w:t>
      </w:r>
      <w:r w:rsidR="0077755A">
        <w:t xml:space="preserve">effectively </w:t>
      </w:r>
      <w:r w:rsidR="00E151A4">
        <w:t>banning any publication mentioning the threshold pressure. Thus, in the open literature, there are publication</w:t>
      </w:r>
      <w:r w:rsidR="00CB5673">
        <w:t>s</w:t>
      </w:r>
      <w:r w:rsidR="00E151A4">
        <w:t xml:space="preserve"> that show the threshold pressure, but is not mentioned.  However, many </w:t>
      </w:r>
      <w:r w:rsidR="00E151A4">
        <w:rPr>
          <w:iCs/>
        </w:rPr>
        <w:t xml:space="preserve">examples were observed </w:t>
      </w:r>
      <w:r w:rsidR="00EF14C6">
        <w:rPr>
          <w:iCs/>
        </w:rPr>
        <w:t xml:space="preserve">by </w:t>
      </w:r>
      <w:r w:rsidR="00E151A4">
        <w:rPr>
          <w:iCs/>
        </w:rPr>
        <w:t>Dr. Fuller’s group in the Oak Ridge DOE Analytical Laboratory. I was also employed by the Oak Ridge labs, under a totally a different vice president and had no control over the experiments.  I did not work in these group</w:t>
      </w:r>
      <w:r w:rsidR="002C19B1">
        <w:rPr>
          <w:iCs/>
        </w:rPr>
        <w:t>s</w:t>
      </w:r>
      <w:r w:rsidR="00E151A4">
        <w:rPr>
          <w:iCs/>
        </w:rPr>
        <w:t xml:space="preserve">, nor did I </w:t>
      </w:r>
      <w:r w:rsidR="00136B83">
        <w:rPr>
          <w:iCs/>
        </w:rPr>
        <w:t>supervise</w:t>
      </w:r>
      <w:r w:rsidR="00E151A4">
        <w:rPr>
          <w:iCs/>
        </w:rPr>
        <w:t xml:space="preserve"> any </w:t>
      </w:r>
      <w:r w:rsidR="002C19B1">
        <w:rPr>
          <w:iCs/>
        </w:rPr>
        <w:t xml:space="preserve">employees </w:t>
      </w:r>
      <w:r w:rsidR="00E151A4">
        <w:rPr>
          <w:iCs/>
        </w:rPr>
        <w:t xml:space="preserve">of either Fuller’s, Thompson’s or anyone else’s who worked in the Analytical </w:t>
      </w:r>
      <w:r w:rsidR="00136B83">
        <w:rPr>
          <w:iCs/>
        </w:rPr>
        <w:t>Labs.</w:t>
      </w:r>
      <w:r w:rsidR="00E151A4">
        <w:rPr>
          <w:iCs/>
        </w:rPr>
        <w:t xml:space="preserve"> </w:t>
      </w:r>
      <w:r w:rsidR="00136B83">
        <w:rPr>
          <w:iCs/>
        </w:rPr>
        <w:t xml:space="preserve"> I was the instrument developer</w:t>
      </w:r>
      <w:r w:rsidR="002C19B1">
        <w:rPr>
          <w:iCs/>
        </w:rPr>
        <w:t xml:space="preserve"> and worked </w:t>
      </w:r>
      <w:proofErr w:type="gramStart"/>
      <w:r w:rsidR="002C19B1">
        <w:rPr>
          <w:iCs/>
        </w:rPr>
        <w:t>in the area of</w:t>
      </w:r>
      <w:proofErr w:type="gramEnd"/>
      <w:r w:rsidR="002C19B1">
        <w:rPr>
          <w:iCs/>
        </w:rPr>
        <w:t xml:space="preserve"> corrosion.  O</w:t>
      </w:r>
      <w:r w:rsidR="00136B83">
        <w:rPr>
          <w:iCs/>
        </w:rPr>
        <w:t xml:space="preserve">nce an instrument was developed and tested, it was transferred to the Analytical </w:t>
      </w:r>
      <w:r w:rsidR="00EF14C6">
        <w:rPr>
          <w:iCs/>
        </w:rPr>
        <w:t>Laboratories,</w:t>
      </w:r>
      <w:r w:rsidR="00136B83">
        <w:rPr>
          <w:iCs/>
        </w:rPr>
        <w:t xml:space="preserve"> and I no longer had any control what-so-eve</w:t>
      </w:r>
      <w:r w:rsidR="00516868">
        <w:rPr>
          <w:iCs/>
        </w:rPr>
        <w:t>r</w:t>
      </w:r>
      <w:r w:rsidR="00136B83">
        <w:rPr>
          <w:iCs/>
        </w:rPr>
        <w:t xml:space="preserve"> over the operation of the instrument.</w:t>
      </w:r>
    </w:p>
  </w:footnote>
  <w:footnote w:id="9">
    <w:p w14:paraId="5BFC6C1C" w14:textId="3320EEC7" w:rsidR="002C19B1" w:rsidRDefault="002C19B1">
      <w:pPr>
        <w:pStyle w:val="FootnoteText"/>
      </w:pPr>
      <w:r>
        <w:rPr>
          <w:rStyle w:val="FootnoteReference"/>
        </w:rPr>
        <w:footnoteRef/>
      </w:r>
      <w:r>
        <w:t xml:space="preserve"> In this publication the used of the </w:t>
      </w:r>
      <w:r w:rsidR="00CB5673">
        <w:t xml:space="preserve">IUPAC </w:t>
      </w:r>
      <w:r>
        <w:t>alternative designation for “molar” is the overbar.  This avoids the confusion between “molar” and “monolayer equivalence</w:t>
      </w:r>
      <w:r w:rsidR="00CB5673">
        <w:t>,</w:t>
      </w:r>
      <w:r>
        <w:t>” which is “</w:t>
      </w:r>
      <w:r w:rsidRPr="002C19B1">
        <w:rPr>
          <w:vertAlign w:val="subscript"/>
        </w:rPr>
        <w:t>m</w:t>
      </w:r>
      <w:r>
        <w:t>”</w:t>
      </w:r>
      <w:r w:rsidR="00CD26F7">
        <w:t xml:space="preserve">. </w:t>
      </w:r>
    </w:p>
  </w:footnote>
  <w:footnote w:id="10">
    <w:p w14:paraId="6536E963" w14:textId="77777777" w:rsidR="000A1FAA" w:rsidRDefault="000A1FAA" w:rsidP="000A1FAA">
      <w:pPr>
        <w:pStyle w:val="FootnoteText"/>
      </w:pPr>
      <w:r>
        <w:rPr>
          <w:rStyle w:val="FootnoteReference"/>
        </w:rPr>
        <w:footnoteRef/>
      </w:r>
      <w:r>
        <w:t xml:space="preserve"> The calorimetric heat of adsorption requires addition of the heat of vaporization due to shift from standard state of the liquid adsorptive to the gas phase at 1 bar.</w:t>
      </w:r>
    </w:p>
  </w:footnote>
  <w:footnote w:id="11">
    <w:p w14:paraId="06A45FAC" w14:textId="77777777" w:rsidR="00CA7DD8" w:rsidRDefault="00CA7DD8">
      <w:pPr>
        <w:pStyle w:val="FootnoteText"/>
      </w:pPr>
      <w:r>
        <w:rPr>
          <w:rStyle w:val="FootnoteReference"/>
        </w:rPr>
        <w:footnoteRef/>
      </w:r>
      <w:r>
        <w:t xml:space="preserve"> The term “layer” is easily interpreted classically, but it has a different meaning in the QM</w:t>
      </w:r>
      <w:r w:rsidR="007328F4">
        <w:t>.</w:t>
      </w:r>
    </w:p>
  </w:footnote>
  <w:footnote w:id="12">
    <w:p w14:paraId="759F6A31" w14:textId="77777777" w:rsidR="00F93ABC" w:rsidRDefault="00F93ABC" w:rsidP="00F93ABC">
      <w:pPr>
        <w:pStyle w:val="FootnoteText"/>
      </w:pPr>
      <w:r>
        <w:rPr>
          <w:rStyle w:val="FootnoteReference"/>
        </w:rPr>
        <w:footnoteRef/>
      </w:r>
      <w:r>
        <w:t xml:space="preserve">  In communication with Micromeritics, this uniform temperature between the sample hang-down and the comparison tube was accomplished by wrapping the tubes together in copper foil. This was a clever solution, but there is still radiative heating from above the tubes.  This also would have a simple solution. However, if the sample and the simulated sample have about the same color, it may be OK.  It would be great if someone would make a study of this.</w:t>
      </w:r>
    </w:p>
  </w:footnote>
  <w:footnote w:id="13">
    <w:p w14:paraId="5933E31F" w14:textId="6BBE852A" w:rsidR="00EB0E13" w:rsidRDefault="00EB0E13">
      <w:pPr>
        <w:pStyle w:val="FootnoteText"/>
      </w:pPr>
      <w:r>
        <w:rPr>
          <w:rStyle w:val="FootnoteReference"/>
        </w:rPr>
        <w:footnoteRef/>
      </w:r>
      <w:r>
        <w:t xml:space="preserve"> A question is, “How does one compare the std </w:t>
      </w:r>
      <w:r w:rsidR="00B161DC">
        <w:t xml:space="preserve">dev. </w:t>
      </w:r>
      <w:r>
        <w:t>of one isotherm fit to another</w:t>
      </w:r>
      <w:r w:rsidR="00B161DC">
        <w:t xml:space="preserve"> since the amount adsorbed might be different.  The way this has been done is to divide each by the full range of the data and express it as a percent.</w:t>
      </w:r>
    </w:p>
    <w:p w14:paraId="46CB7210" w14:textId="2DD84DE9" w:rsidR="00B161DC" w:rsidRDefault="00B161DC">
      <w:pPr>
        <w:pStyle w:val="FootnoteText"/>
      </w:pPr>
      <w:r>
        <w:t xml:space="preserve">This FDR may not be a perfect way, but its approximate and one can designate what a good fit is using this value.  </w:t>
      </w:r>
      <w:proofErr w:type="gramStart"/>
      <w:r>
        <w:t>A</w:t>
      </w:r>
      <w:proofErr w:type="gramEnd"/>
      <w:r>
        <w:t xml:space="preserve"> FDR &lt; 1% seems to separate isotherms with high data scatter and low.  It also divides good versus bad hypotheses</w:t>
      </w:r>
    </w:p>
  </w:footnote>
  <w:footnote w:id="14">
    <w:p w14:paraId="399E9C19" w14:textId="40BA9CE6" w:rsidR="005015DA" w:rsidRDefault="005015DA">
      <w:pPr>
        <w:pStyle w:val="FootnoteText"/>
      </w:pPr>
      <w:r>
        <w:rPr>
          <w:rStyle w:val="FootnoteReference"/>
        </w:rPr>
        <w:footnoteRef/>
      </w:r>
      <w:r>
        <w:t xml:space="preserve"> </w:t>
      </w:r>
      <w:r w:rsidRPr="00A613B7">
        <w:rPr>
          <w:color w:val="000000" w:themeColor="text1"/>
        </w:rPr>
        <w:t>(I was not involved in the experiment nor the writing of this report.  A lot of the theoretical basis is presented so maybe he felt that I should have some credit.  I also did not attend the conference and I no longer worked for DOE.)</w:t>
      </w:r>
    </w:p>
  </w:footnote>
  <w:footnote w:id="15">
    <w:p w14:paraId="45A7412D" w14:textId="77777777" w:rsidR="00E74B65" w:rsidRDefault="00E74B65">
      <w:pPr>
        <w:pStyle w:val="FootnoteText"/>
      </w:pPr>
      <w:r>
        <w:rPr>
          <w:rStyle w:val="FootnoteReference"/>
        </w:rPr>
        <w:footnoteRef/>
      </w:r>
      <w:r>
        <w:t xml:space="preserve"> Brunauer argued that the constant “</w:t>
      </w:r>
      <w:r w:rsidRPr="00E74B65">
        <w:rPr>
          <w:i/>
          <w:iCs/>
        </w:rPr>
        <w:t>C</w:t>
      </w:r>
      <w:r>
        <w:t>” was an equilibrium constant.  The problem is that it does not match the calorimetric heats of adsorption regardless of attempting to make up for the difference with entropy.  Such attempts yield ridiculous answers that cannot be justified, but researchers continue to report these answers.</w:t>
      </w:r>
    </w:p>
  </w:footnote>
  <w:footnote w:id="16">
    <w:p w14:paraId="22126253" w14:textId="77777777" w:rsidR="00D4022D" w:rsidRDefault="00D4022D" w:rsidP="00D4022D">
      <w:pPr>
        <w:pStyle w:val="FootnoteText"/>
      </w:pPr>
      <w:r>
        <w:rPr>
          <w:rStyle w:val="FootnoteReference"/>
        </w:rPr>
        <w:footnoteRef/>
      </w:r>
      <w:r>
        <w:t xml:space="preserve"> Polanyi referred to BET as “orthodoxy.”  He quotes Bertrand Russell, “The triumphs of science are due to the substitution of observation and inference for authority.  Every attempt to revive authority in intellectual matters is a retrograde step. …And it is part of the scientific attitude that the pronouncements of science do not claim to be certain, but only the most probable [based on] present evidence.  One of the great benefits that science confers upon those who understand its spirit is that it enables them to live without the delusive subjective authority.” </w:t>
      </w:r>
    </w:p>
    <w:p w14:paraId="3652C5DF" w14:textId="77777777" w:rsidR="00D4022D" w:rsidRDefault="00D4022D" w:rsidP="00D4022D">
      <w:pPr>
        <w:pStyle w:val="FootnoteText"/>
      </w:pPr>
    </w:p>
    <w:p w14:paraId="152BCD43" w14:textId="32398A57" w:rsidR="00D4022D" w:rsidRDefault="00D4022D" w:rsidP="00D4022D">
      <w:pPr>
        <w:pStyle w:val="FootnoteText"/>
      </w:pPr>
      <w:bookmarkStart w:id="63" w:name="_Hlk148954121"/>
      <w:r>
        <w:t xml:space="preserve">Unfortunately, the authority has not </w:t>
      </w:r>
      <w:r w:rsidR="00E47A88">
        <w:t xml:space="preserve">only </w:t>
      </w:r>
      <w:r>
        <w:t xml:space="preserve">been within governments, churches, or society but </w:t>
      </w:r>
      <w:r w:rsidR="00E47A88">
        <w:t>also</w:t>
      </w:r>
      <w:r>
        <w:t xml:space="preserve"> within the scientific community itself.  </w:t>
      </w:r>
      <w:r>
        <w:rPr>
          <w:rStyle w:val="moduletitlelink"/>
        </w:rPr>
        <w:t>Lysenko</w:t>
      </w:r>
      <w:r>
        <w:t>ism is alive and well and practiced by scientists.</w:t>
      </w:r>
      <w:bookmarkEnd w:id="63"/>
    </w:p>
    <w:p w14:paraId="4DD773E7" w14:textId="77777777" w:rsidR="00D4022D" w:rsidRDefault="00D4022D" w:rsidP="00D4022D">
      <w:pPr>
        <w:pStyle w:val="FootnoteText"/>
      </w:pPr>
    </w:p>
  </w:footnote>
  <w:footnote w:id="17">
    <w:p w14:paraId="75396095" w14:textId="2A8340E2" w:rsidR="00D4022D" w:rsidRDefault="00D4022D">
      <w:pPr>
        <w:pStyle w:val="FootnoteText"/>
      </w:pPr>
      <w:r>
        <w:rPr>
          <w:rStyle w:val="FootnoteReference"/>
        </w:rPr>
        <w:footnoteRef/>
      </w:r>
      <w:r>
        <w:t xml:space="preserve"> </w:t>
      </w:r>
      <w:r w:rsidR="00E47A88">
        <w:t>T</w:t>
      </w:r>
      <w:r>
        <w:t>his has been happening periodically for the last 40 years.</w:t>
      </w:r>
    </w:p>
    <w:p w14:paraId="014DB3B9" w14:textId="77777777" w:rsidR="00D4022D" w:rsidRDefault="00D4022D">
      <w:pPr>
        <w:pStyle w:val="FootnoteText"/>
      </w:pPr>
    </w:p>
  </w:footnote>
  <w:footnote w:id="18">
    <w:p w14:paraId="652AD6CD" w14:textId="1BC087F2" w:rsidR="00F50EE9" w:rsidRDefault="00F50EE9">
      <w:pPr>
        <w:pStyle w:val="FootnoteText"/>
      </w:pPr>
      <w:r>
        <w:rPr>
          <w:rStyle w:val="FootnoteReference"/>
        </w:rPr>
        <w:footnoteRef/>
      </w:r>
      <w:r>
        <w:t xml:space="preserve"> Reevaluation here indicates these numbers are overly optimistic.  Perhaps the values are 1 sigma.</w:t>
      </w:r>
      <w:r w:rsidR="00A970D9">
        <w:t xml:space="preserve">  Furthermore</w:t>
      </w:r>
      <w:r w:rsidR="00D4022D">
        <w:t>,</w:t>
      </w:r>
      <w:r w:rsidR="00A970D9">
        <w:t xml:space="preserve"> there is some question about what the comparison is to.  It’s also not made clear what the dependent variable is and if all the investigators are following the same mathematical protocol.  The 0.01% variation seems bogus. </w:t>
      </w:r>
      <w:proofErr w:type="gramStart"/>
      <w:r w:rsidR="00E47A88">
        <w:t>So</w:t>
      </w:r>
      <w:proofErr w:type="gramEnd"/>
      <w:r w:rsidR="00E47A88">
        <w:t xml:space="preserve"> what is the explanation?</w:t>
      </w:r>
    </w:p>
    <w:p w14:paraId="678CC630" w14:textId="77777777" w:rsidR="00E47A88" w:rsidRDefault="00E47A88">
      <w:pPr>
        <w:pStyle w:val="FootnoteText"/>
      </w:pPr>
    </w:p>
  </w:footnote>
  <w:footnote w:id="19">
    <w:p w14:paraId="41610AFC" w14:textId="2CFF1291" w:rsidR="0039058D" w:rsidRDefault="0039058D">
      <w:pPr>
        <w:pStyle w:val="FootnoteText"/>
      </w:pPr>
      <w:r>
        <w:rPr>
          <w:rStyle w:val="FootnoteReference"/>
        </w:rPr>
        <w:footnoteRef/>
      </w:r>
      <w:r>
        <w:t xml:space="preserve"> During the creation of this report no indeterminates were found in the mathematics.  Perhaps the author is referring to the transformed equation and very low pressures, but even </w:t>
      </w:r>
      <w:r w:rsidR="009451AE">
        <w:t>at low pressures</w:t>
      </w:r>
      <w:r w:rsidR="00293D28">
        <w:t xml:space="preserve">, if </w:t>
      </w:r>
      <w:r w:rsidR="00293D28">
        <w:rPr>
          <w:i/>
          <w:iCs/>
        </w:rPr>
        <w:t>n</w:t>
      </w:r>
      <w:r w:rsidR="00293D28">
        <w:rPr>
          <w:vertAlign w:val="subscript"/>
        </w:rPr>
        <w:t>a</w:t>
      </w:r>
      <w:r w:rsidR="00293D28">
        <w:t xml:space="preserve"> &gt; 0,</w:t>
      </w:r>
      <w:r>
        <w:t xml:space="preserve"> there should not be indeterminates.</w:t>
      </w:r>
      <w:r w:rsidR="00830051">
        <w:t xml:space="preserve">  If they measure</w:t>
      </w:r>
      <w:r w:rsidR="00293D28">
        <w:t>d</w:t>
      </w:r>
      <w:r w:rsidR="00830051">
        <w:t xml:space="preserve"> an amount of zero, as predicted by QM</w:t>
      </w:r>
      <w:r w:rsidR="00A970D9">
        <w:rPr>
          <w:rFonts w:cs="Times New Roman"/>
        </w:rPr>
        <w:t>/ESW</w:t>
      </w:r>
      <w:r w:rsidR="00830051">
        <w:t xml:space="preserve">, then the transform would yield </w:t>
      </w:r>
      <w:r w:rsidR="00293D28">
        <w:t>an indeterminate, but there is no indication in the report of such a finding. (Perhaps, it is because that would disprove the BET.)</w:t>
      </w:r>
    </w:p>
  </w:footnote>
  <w:footnote w:id="20">
    <w:p w14:paraId="1D631F01" w14:textId="7415817C" w:rsidR="005555BC" w:rsidRDefault="005555BC">
      <w:pPr>
        <w:pStyle w:val="FootnoteText"/>
      </w:pPr>
      <w:r>
        <w:rPr>
          <w:rStyle w:val="FootnoteReference"/>
        </w:rPr>
        <w:footnoteRef/>
      </w:r>
      <w:r>
        <w:t>John Dewey’s phrase</w:t>
      </w:r>
      <w:r w:rsidR="009F4FA7">
        <w:t xml:space="preserve"> for closer to truth.</w:t>
      </w:r>
    </w:p>
  </w:footnote>
  <w:footnote w:id="21">
    <w:p w14:paraId="3AB3A659" w14:textId="337B25FC" w:rsidR="00243594" w:rsidRDefault="00243594">
      <w:pPr>
        <w:pStyle w:val="FootnoteText"/>
      </w:pPr>
      <w:r>
        <w:rPr>
          <w:rStyle w:val="FootnoteReference"/>
        </w:rPr>
        <w:footnoteRef/>
      </w:r>
      <w:r>
        <w:t xml:space="preserve"> What is meant by AI here.  </w:t>
      </w:r>
      <w:r w:rsidR="00B40E99">
        <w:t>Probably,</w:t>
      </w:r>
      <w:r>
        <w:t xml:space="preserve"> AI would attempt to </w:t>
      </w:r>
      <w:r w:rsidR="00BD184E">
        <w:t xml:space="preserve">give </w:t>
      </w:r>
      <w:r>
        <w:t xml:space="preserve">consistent </w:t>
      </w:r>
      <w:r w:rsidR="00BD184E">
        <w:t xml:space="preserve">answers, </w:t>
      </w:r>
      <w:r>
        <w:t>regardless of whether the method is scientifically justified</w:t>
      </w:r>
      <w:r w:rsidR="00BD184E">
        <w:t>.</w:t>
      </w:r>
      <w:r w:rsidR="00B40E99">
        <w:t xml:space="preserve">  Given the overwhelming presence of publications that use BET, undoubtedly the BET would be cited, but the decision how to apply it is left up to chance.</w:t>
      </w:r>
    </w:p>
  </w:footnote>
  <w:footnote w:id="22">
    <w:p w14:paraId="377F5D80" w14:textId="1E255A59" w:rsidR="00AA5EAB" w:rsidRDefault="00AA5EAB">
      <w:pPr>
        <w:pStyle w:val="FootnoteText"/>
      </w:pPr>
      <w:r>
        <w:rPr>
          <w:rStyle w:val="FootnoteReference"/>
        </w:rPr>
        <w:footnoteRef/>
      </w:r>
      <w:r>
        <w:t xml:space="preserve"> </w:t>
      </w:r>
      <w:r w:rsidR="00464C79">
        <w:t>This is from a</w:t>
      </w:r>
      <w:r>
        <w:t xml:space="preserve"> recent round-robin attempt </w:t>
      </w:r>
      <w:r w:rsidR="00B40E99">
        <w:t>to</w:t>
      </w:r>
      <w:r>
        <w:t xml:space="preserve"> “standar</w:t>
      </w:r>
      <w:r w:rsidR="000C5318">
        <w:t xml:space="preserve">dize” the BET based on an “impartial” application of the “Rouquerol” criteria.  </w:t>
      </w:r>
      <w:r w:rsidR="00B40E99">
        <w:t xml:space="preserve">(The application of the criteria seems to be very well outlined except for the </w:t>
      </w:r>
      <w:proofErr w:type="gramStart"/>
      <w:r w:rsidR="00B40E99">
        <w:t>low pressure</w:t>
      </w:r>
      <w:proofErr w:type="gramEnd"/>
      <w:r w:rsidR="00B40E99">
        <w:t xml:space="preserve"> limit, so the meaning of addition “impartiality” is not clear.)  </w:t>
      </w:r>
      <w:r w:rsidR="000C5318">
        <w:t>The results were any</w:t>
      </w:r>
      <w:r w:rsidR="00464C79">
        <w:t>thing</w:t>
      </w:r>
      <w:r w:rsidR="000C5318">
        <w:t xml:space="preserve"> but sterling.  A lot of effort, many laboratories and researchers were involved in this effort.  You might have expected someone </w:t>
      </w:r>
      <w:r w:rsidR="00766BE7">
        <w:t>among those 60 would have</w:t>
      </w:r>
      <w:r w:rsidR="000C5318">
        <w:t xml:space="preserve"> ask</w:t>
      </w:r>
      <w:r w:rsidR="00766BE7">
        <w:t>ed</w:t>
      </w:r>
      <w:r w:rsidR="000C5318">
        <w:t xml:space="preserve">, “Wait!  This </w:t>
      </w:r>
      <w:r w:rsidR="00A13D97">
        <w:t>does not</w:t>
      </w:r>
      <w:r w:rsidR="000C5318">
        <w:t xml:space="preserve"> seem to be working – is there something else that can be done?”</w:t>
      </w:r>
    </w:p>
  </w:footnote>
  <w:footnote w:id="23">
    <w:p w14:paraId="6AA81139" w14:textId="77777777" w:rsidR="00B5263E" w:rsidRDefault="00B5263E" w:rsidP="00B5263E">
      <w:pPr>
        <w:pStyle w:val="FootnoteText"/>
      </w:pPr>
      <w:r>
        <w:rPr>
          <w:rStyle w:val="FootnoteReference"/>
        </w:rPr>
        <w:footnoteRef/>
      </w:r>
      <w:r>
        <w:t xml:space="preserve"> </w:t>
      </w:r>
      <w:r>
        <w:rPr>
          <w:rFonts w:ascii="Work Sans" w:hAnsi="Work Sans"/>
        </w:rPr>
        <w:t xml:space="preserve">® </w:t>
      </w:r>
      <w:proofErr w:type="spellStart"/>
      <w:r w:rsidRPr="00065F43">
        <w:rPr>
          <w:iCs/>
        </w:rPr>
        <w:t>duPont</w:t>
      </w:r>
      <w:proofErr w:type="spellEnd"/>
      <w:r w:rsidRPr="00065F43">
        <w:rPr>
          <w:iCs/>
        </w:rPr>
        <w:t xml:space="preserve"> trade name.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4489253"/>
      <w:docPartObj>
        <w:docPartGallery w:val="Page Numbers (Top of Page)"/>
        <w:docPartUnique/>
      </w:docPartObj>
    </w:sdtPr>
    <w:sdtEndPr>
      <w:rPr>
        <w:noProof/>
      </w:rPr>
    </w:sdtEndPr>
    <w:sdtContent>
      <w:p w14:paraId="1CEAE2E5" w14:textId="5F5F53B0" w:rsidR="003646F4" w:rsidRDefault="003646F4" w:rsidP="003646F4">
        <w:pPr>
          <w:pStyle w:val="Header"/>
        </w:pPr>
        <w:r>
          <w:t xml:space="preserve">BET versus Quantum Mechanics                 page </w:t>
        </w:r>
        <w:r>
          <w:fldChar w:fldCharType="begin"/>
        </w:r>
        <w:r>
          <w:instrText xml:space="preserve"> PAGE   \* MERGEFORMAT </w:instrText>
        </w:r>
        <w:r>
          <w:fldChar w:fldCharType="separate"/>
        </w:r>
        <w:r>
          <w:rPr>
            <w:noProof/>
          </w:rPr>
          <w:t>2</w:t>
        </w:r>
        <w:r>
          <w:rPr>
            <w:noProof/>
          </w:rPr>
          <w:fldChar w:fldCharType="end"/>
        </w:r>
      </w:p>
    </w:sdtContent>
  </w:sdt>
  <w:p w14:paraId="587CBDF9" w14:textId="1B8E4A4D" w:rsidR="003C0B2E" w:rsidRDefault="003C0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5F6"/>
    <w:multiLevelType w:val="hybridMultilevel"/>
    <w:tmpl w:val="F48AD94A"/>
    <w:lvl w:ilvl="0" w:tplc="9DBA8E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93E2A"/>
    <w:multiLevelType w:val="hybridMultilevel"/>
    <w:tmpl w:val="7B04A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A78FC"/>
    <w:multiLevelType w:val="hybridMultilevel"/>
    <w:tmpl w:val="4768BFC8"/>
    <w:lvl w:ilvl="0" w:tplc="A922FE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840FC"/>
    <w:multiLevelType w:val="hybridMultilevel"/>
    <w:tmpl w:val="32AECD1E"/>
    <w:lvl w:ilvl="0" w:tplc="8A683E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457CA"/>
    <w:multiLevelType w:val="hybridMultilevel"/>
    <w:tmpl w:val="F202F2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71306"/>
    <w:multiLevelType w:val="hybridMultilevel"/>
    <w:tmpl w:val="DA9669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85C2F"/>
    <w:multiLevelType w:val="hybridMultilevel"/>
    <w:tmpl w:val="010EE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62961"/>
    <w:multiLevelType w:val="hybridMultilevel"/>
    <w:tmpl w:val="41689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F067B"/>
    <w:multiLevelType w:val="hybridMultilevel"/>
    <w:tmpl w:val="AC68C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E576B"/>
    <w:multiLevelType w:val="hybridMultilevel"/>
    <w:tmpl w:val="6158FE3E"/>
    <w:lvl w:ilvl="0" w:tplc="F32099F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B2541"/>
    <w:multiLevelType w:val="hybridMultilevel"/>
    <w:tmpl w:val="DF844A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B34B0"/>
    <w:multiLevelType w:val="hybridMultilevel"/>
    <w:tmpl w:val="064A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E7FDB"/>
    <w:multiLevelType w:val="hybridMultilevel"/>
    <w:tmpl w:val="859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3437E"/>
    <w:multiLevelType w:val="hybridMultilevel"/>
    <w:tmpl w:val="D35E4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786C49"/>
    <w:multiLevelType w:val="hybridMultilevel"/>
    <w:tmpl w:val="E8F20D8C"/>
    <w:lvl w:ilvl="0" w:tplc="88C2FD16">
      <w:numFmt w:val="bullet"/>
      <w:lvlText w:val=""/>
      <w:lvlJc w:val="left"/>
      <w:pPr>
        <w:ind w:left="720" w:hanging="360"/>
      </w:pPr>
      <w:rPr>
        <w:rFonts w:ascii="Symbol" w:eastAsia="N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A1D36"/>
    <w:multiLevelType w:val="hybridMultilevel"/>
    <w:tmpl w:val="7836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C2E21"/>
    <w:multiLevelType w:val="hybridMultilevel"/>
    <w:tmpl w:val="6C543CBA"/>
    <w:lvl w:ilvl="0" w:tplc="E236B26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50D06"/>
    <w:multiLevelType w:val="hybridMultilevel"/>
    <w:tmpl w:val="5B3CA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3341D1"/>
    <w:multiLevelType w:val="hybridMultilevel"/>
    <w:tmpl w:val="8D0A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06638"/>
    <w:multiLevelType w:val="hybridMultilevel"/>
    <w:tmpl w:val="F83CD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E1A9B"/>
    <w:multiLevelType w:val="hybridMultilevel"/>
    <w:tmpl w:val="11204F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1036BF"/>
    <w:multiLevelType w:val="hybridMultilevel"/>
    <w:tmpl w:val="49D60808"/>
    <w:lvl w:ilvl="0" w:tplc="ADDAF16C">
      <w:numFmt w:val="bullet"/>
      <w:lvlText w:val=""/>
      <w:lvlJc w:val="left"/>
      <w:pPr>
        <w:ind w:left="720" w:hanging="360"/>
      </w:pPr>
      <w:rPr>
        <w:rFonts w:ascii="Symbol" w:eastAsiaTheme="minorHAnsi" w:hAnsi="Symbol" w:cs="Aria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23469"/>
    <w:multiLevelType w:val="hybridMultilevel"/>
    <w:tmpl w:val="AC40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631D6A"/>
    <w:multiLevelType w:val="hybridMultilevel"/>
    <w:tmpl w:val="10086660"/>
    <w:lvl w:ilvl="0" w:tplc="FAB0C1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AB0977"/>
    <w:multiLevelType w:val="hybridMultilevel"/>
    <w:tmpl w:val="70D41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F855C1"/>
    <w:multiLevelType w:val="hybridMultilevel"/>
    <w:tmpl w:val="B1F2FE2E"/>
    <w:lvl w:ilvl="0" w:tplc="2FDC9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2E1A0A"/>
    <w:multiLevelType w:val="hybridMultilevel"/>
    <w:tmpl w:val="B42CA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C0009C"/>
    <w:multiLevelType w:val="hybridMultilevel"/>
    <w:tmpl w:val="0EDA3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113191"/>
    <w:multiLevelType w:val="hybridMultilevel"/>
    <w:tmpl w:val="4CACC744"/>
    <w:lvl w:ilvl="0" w:tplc="6054D502">
      <w:start w:val="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A9372A"/>
    <w:multiLevelType w:val="hybridMultilevel"/>
    <w:tmpl w:val="D372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1B261D"/>
    <w:multiLevelType w:val="hybridMultilevel"/>
    <w:tmpl w:val="66EA9922"/>
    <w:lvl w:ilvl="0" w:tplc="9F44A0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0247D1"/>
    <w:multiLevelType w:val="hybridMultilevel"/>
    <w:tmpl w:val="1166D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084514"/>
    <w:multiLevelType w:val="hybridMultilevel"/>
    <w:tmpl w:val="895624A2"/>
    <w:lvl w:ilvl="0" w:tplc="94E47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B77D04"/>
    <w:multiLevelType w:val="hybridMultilevel"/>
    <w:tmpl w:val="DB8C1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7D5862"/>
    <w:multiLevelType w:val="hybridMultilevel"/>
    <w:tmpl w:val="F50C81F8"/>
    <w:lvl w:ilvl="0" w:tplc="BC6CEF04">
      <w:start w:val="25"/>
      <w:numFmt w:val="bullet"/>
      <w:lvlText w:val=""/>
      <w:lvlJc w:val="left"/>
      <w:pPr>
        <w:ind w:left="720" w:hanging="360"/>
      </w:pPr>
      <w:rPr>
        <w:rFonts w:ascii="Symbol" w:eastAsia="N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988973">
    <w:abstractNumId w:val="13"/>
  </w:num>
  <w:num w:numId="2" w16cid:durableId="784037310">
    <w:abstractNumId w:val="7"/>
  </w:num>
  <w:num w:numId="3" w16cid:durableId="1086613183">
    <w:abstractNumId w:val="34"/>
  </w:num>
  <w:num w:numId="4" w16cid:durableId="323508043">
    <w:abstractNumId w:val="25"/>
  </w:num>
  <w:num w:numId="5" w16cid:durableId="1298989746">
    <w:abstractNumId w:val="31"/>
  </w:num>
  <w:num w:numId="6" w16cid:durableId="112292874">
    <w:abstractNumId w:val="33"/>
  </w:num>
  <w:num w:numId="7" w16cid:durableId="1827017007">
    <w:abstractNumId w:val="10"/>
  </w:num>
  <w:num w:numId="8" w16cid:durableId="1645620442">
    <w:abstractNumId w:val="1"/>
  </w:num>
  <w:num w:numId="9" w16cid:durableId="308291101">
    <w:abstractNumId w:val="9"/>
  </w:num>
  <w:num w:numId="10" w16cid:durableId="1537160555">
    <w:abstractNumId w:val="14"/>
  </w:num>
  <w:num w:numId="11" w16cid:durableId="2000306304">
    <w:abstractNumId w:val="28"/>
  </w:num>
  <w:num w:numId="12" w16cid:durableId="734398869">
    <w:abstractNumId w:val="5"/>
  </w:num>
  <w:num w:numId="13" w16cid:durableId="222254137">
    <w:abstractNumId w:val="32"/>
  </w:num>
  <w:num w:numId="14" w16cid:durableId="203837174">
    <w:abstractNumId w:val="4"/>
  </w:num>
  <w:num w:numId="15" w16cid:durableId="952370409">
    <w:abstractNumId w:val="19"/>
  </w:num>
  <w:num w:numId="16" w16cid:durableId="2020236760">
    <w:abstractNumId w:val="16"/>
  </w:num>
  <w:num w:numId="17" w16cid:durableId="1564218350">
    <w:abstractNumId w:val="21"/>
  </w:num>
  <w:num w:numId="18" w16cid:durableId="871694563">
    <w:abstractNumId w:val="11"/>
  </w:num>
  <w:num w:numId="19" w16cid:durableId="1590309096">
    <w:abstractNumId w:val="29"/>
  </w:num>
  <w:num w:numId="20" w16cid:durableId="623846939">
    <w:abstractNumId w:val="6"/>
  </w:num>
  <w:num w:numId="21" w16cid:durableId="1929340147">
    <w:abstractNumId w:val="8"/>
  </w:num>
  <w:num w:numId="22" w16cid:durableId="227308153">
    <w:abstractNumId w:val="24"/>
  </w:num>
  <w:num w:numId="23" w16cid:durableId="2008360713">
    <w:abstractNumId w:val="12"/>
  </w:num>
  <w:num w:numId="24" w16cid:durableId="5986561">
    <w:abstractNumId w:val="18"/>
  </w:num>
  <w:num w:numId="25" w16cid:durableId="150415690">
    <w:abstractNumId w:val="15"/>
  </w:num>
  <w:num w:numId="26" w16cid:durableId="147945848">
    <w:abstractNumId w:val="17"/>
  </w:num>
  <w:num w:numId="27" w16cid:durableId="372654726">
    <w:abstractNumId w:val="22"/>
  </w:num>
  <w:num w:numId="28" w16cid:durableId="108277659">
    <w:abstractNumId w:val="23"/>
  </w:num>
  <w:num w:numId="29" w16cid:durableId="1376396014">
    <w:abstractNumId w:val="3"/>
  </w:num>
  <w:num w:numId="30" w16cid:durableId="2108041170">
    <w:abstractNumId w:val="0"/>
  </w:num>
  <w:num w:numId="31" w16cid:durableId="785466344">
    <w:abstractNumId w:val="26"/>
  </w:num>
  <w:num w:numId="32" w16cid:durableId="1542861635">
    <w:abstractNumId w:val="2"/>
  </w:num>
  <w:num w:numId="33" w16cid:durableId="511844128">
    <w:abstractNumId w:val="30"/>
  </w:num>
  <w:num w:numId="34" w16cid:durableId="1346440445">
    <w:abstractNumId w:val="20"/>
  </w:num>
  <w:num w:numId="35" w16cid:durableId="15477153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revisionView w:inkAnnotations="0"/>
  <w:defaultTabStop w:val="720"/>
  <w:characterSpacingControl w:val="doNotCompress"/>
  <w:hdrShapeDefaults>
    <o:shapedefaults v:ext="edit" spidmax="2050"/>
  </w:hdrShapeDefaults>
  <w:footnotePr>
    <w:numFmt w:val="chicago"/>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F0"/>
    <w:rsid w:val="00000CD4"/>
    <w:rsid w:val="00000FA5"/>
    <w:rsid w:val="00001151"/>
    <w:rsid w:val="00005F24"/>
    <w:rsid w:val="00010B35"/>
    <w:rsid w:val="00010B92"/>
    <w:rsid w:val="00013E7E"/>
    <w:rsid w:val="000145EF"/>
    <w:rsid w:val="000155A0"/>
    <w:rsid w:val="00017F8E"/>
    <w:rsid w:val="00022CBC"/>
    <w:rsid w:val="00024BC5"/>
    <w:rsid w:val="00024BF6"/>
    <w:rsid w:val="000337E5"/>
    <w:rsid w:val="00037305"/>
    <w:rsid w:val="00040CA9"/>
    <w:rsid w:val="00040D55"/>
    <w:rsid w:val="000508B8"/>
    <w:rsid w:val="00051D31"/>
    <w:rsid w:val="00052637"/>
    <w:rsid w:val="00052B53"/>
    <w:rsid w:val="00060BB3"/>
    <w:rsid w:val="00066288"/>
    <w:rsid w:val="000663FC"/>
    <w:rsid w:val="00066745"/>
    <w:rsid w:val="000674A5"/>
    <w:rsid w:val="000742D9"/>
    <w:rsid w:val="0008121B"/>
    <w:rsid w:val="00085B52"/>
    <w:rsid w:val="0008609E"/>
    <w:rsid w:val="00092484"/>
    <w:rsid w:val="000977AC"/>
    <w:rsid w:val="000A1FAA"/>
    <w:rsid w:val="000A2D53"/>
    <w:rsid w:val="000A7BB8"/>
    <w:rsid w:val="000B6031"/>
    <w:rsid w:val="000B6135"/>
    <w:rsid w:val="000C0815"/>
    <w:rsid w:val="000C1931"/>
    <w:rsid w:val="000C204B"/>
    <w:rsid w:val="000C23BF"/>
    <w:rsid w:val="000C28C9"/>
    <w:rsid w:val="000C2FFC"/>
    <w:rsid w:val="000C3733"/>
    <w:rsid w:val="000C5318"/>
    <w:rsid w:val="000C7991"/>
    <w:rsid w:val="000D1670"/>
    <w:rsid w:val="000D3A7D"/>
    <w:rsid w:val="000D48AB"/>
    <w:rsid w:val="000D5ACA"/>
    <w:rsid w:val="000D5FB5"/>
    <w:rsid w:val="000E10EB"/>
    <w:rsid w:val="000E23C7"/>
    <w:rsid w:val="000E4AD8"/>
    <w:rsid w:val="000E4F3C"/>
    <w:rsid w:val="000E57E3"/>
    <w:rsid w:val="000E7F4A"/>
    <w:rsid w:val="000F1497"/>
    <w:rsid w:val="000F1D16"/>
    <w:rsid w:val="000F5F31"/>
    <w:rsid w:val="000F78F2"/>
    <w:rsid w:val="00100426"/>
    <w:rsid w:val="00101CBA"/>
    <w:rsid w:val="00102279"/>
    <w:rsid w:val="001136A4"/>
    <w:rsid w:val="0011496D"/>
    <w:rsid w:val="00125D08"/>
    <w:rsid w:val="00127E8D"/>
    <w:rsid w:val="00132AD9"/>
    <w:rsid w:val="001345A3"/>
    <w:rsid w:val="00135709"/>
    <w:rsid w:val="00136B83"/>
    <w:rsid w:val="00140E44"/>
    <w:rsid w:val="00141C37"/>
    <w:rsid w:val="00143CFA"/>
    <w:rsid w:val="00144C95"/>
    <w:rsid w:val="00144E15"/>
    <w:rsid w:val="00152A4D"/>
    <w:rsid w:val="00157229"/>
    <w:rsid w:val="001618FB"/>
    <w:rsid w:val="00162354"/>
    <w:rsid w:val="0016509A"/>
    <w:rsid w:val="00167FBA"/>
    <w:rsid w:val="001743CB"/>
    <w:rsid w:val="00174FC3"/>
    <w:rsid w:val="001772C2"/>
    <w:rsid w:val="00180ABE"/>
    <w:rsid w:val="001A1CFC"/>
    <w:rsid w:val="001A381C"/>
    <w:rsid w:val="001A3F93"/>
    <w:rsid w:val="001B20A5"/>
    <w:rsid w:val="001B6509"/>
    <w:rsid w:val="001C0BC2"/>
    <w:rsid w:val="001D1B72"/>
    <w:rsid w:val="001D36D2"/>
    <w:rsid w:val="001D4172"/>
    <w:rsid w:val="001D5755"/>
    <w:rsid w:val="001D5D0F"/>
    <w:rsid w:val="001D748F"/>
    <w:rsid w:val="001E0687"/>
    <w:rsid w:val="001E0A79"/>
    <w:rsid w:val="001E0F96"/>
    <w:rsid w:val="001E3B93"/>
    <w:rsid w:val="001E7C28"/>
    <w:rsid w:val="001F1ABC"/>
    <w:rsid w:val="001F4284"/>
    <w:rsid w:val="001F7259"/>
    <w:rsid w:val="001F7B06"/>
    <w:rsid w:val="00200C5B"/>
    <w:rsid w:val="00202651"/>
    <w:rsid w:val="00203B90"/>
    <w:rsid w:val="00204B7A"/>
    <w:rsid w:val="00207831"/>
    <w:rsid w:val="00210966"/>
    <w:rsid w:val="002131D3"/>
    <w:rsid w:val="0021483A"/>
    <w:rsid w:val="002200BA"/>
    <w:rsid w:val="00220C86"/>
    <w:rsid w:val="0022113F"/>
    <w:rsid w:val="00222F80"/>
    <w:rsid w:val="002242F6"/>
    <w:rsid w:val="00225570"/>
    <w:rsid w:val="00225AC6"/>
    <w:rsid w:val="00227737"/>
    <w:rsid w:val="00230578"/>
    <w:rsid w:val="0023067A"/>
    <w:rsid w:val="00233F27"/>
    <w:rsid w:val="002342E3"/>
    <w:rsid w:val="00235515"/>
    <w:rsid w:val="00240852"/>
    <w:rsid w:val="00241291"/>
    <w:rsid w:val="0024195A"/>
    <w:rsid w:val="00243594"/>
    <w:rsid w:val="0024631B"/>
    <w:rsid w:val="00251CA3"/>
    <w:rsid w:val="00261862"/>
    <w:rsid w:val="00266230"/>
    <w:rsid w:val="00271837"/>
    <w:rsid w:val="002733FB"/>
    <w:rsid w:val="00273A9A"/>
    <w:rsid w:val="00275C3D"/>
    <w:rsid w:val="00276315"/>
    <w:rsid w:val="00276C86"/>
    <w:rsid w:val="002808C5"/>
    <w:rsid w:val="0028422F"/>
    <w:rsid w:val="00292D9C"/>
    <w:rsid w:val="00293D28"/>
    <w:rsid w:val="0029460E"/>
    <w:rsid w:val="00296217"/>
    <w:rsid w:val="002973A1"/>
    <w:rsid w:val="002A63F1"/>
    <w:rsid w:val="002A6A5B"/>
    <w:rsid w:val="002B02B3"/>
    <w:rsid w:val="002B29B9"/>
    <w:rsid w:val="002B35AA"/>
    <w:rsid w:val="002B3876"/>
    <w:rsid w:val="002B5EAC"/>
    <w:rsid w:val="002B5F73"/>
    <w:rsid w:val="002B7062"/>
    <w:rsid w:val="002C19B1"/>
    <w:rsid w:val="002C1D08"/>
    <w:rsid w:val="002C74CB"/>
    <w:rsid w:val="002E2C23"/>
    <w:rsid w:val="002E4895"/>
    <w:rsid w:val="002E5228"/>
    <w:rsid w:val="002E54CB"/>
    <w:rsid w:val="002E6F92"/>
    <w:rsid w:val="002F0C1F"/>
    <w:rsid w:val="002F62D3"/>
    <w:rsid w:val="002F7EE4"/>
    <w:rsid w:val="00300CDA"/>
    <w:rsid w:val="003013B8"/>
    <w:rsid w:val="00303F70"/>
    <w:rsid w:val="003058CB"/>
    <w:rsid w:val="00310397"/>
    <w:rsid w:val="003119B2"/>
    <w:rsid w:val="00313B12"/>
    <w:rsid w:val="00314D00"/>
    <w:rsid w:val="003177EB"/>
    <w:rsid w:val="00321D16"/>
    <w:rsid w:val="0032373F"/>
    <w:rsid w:val="00325BF5"/>
    <w:rsid w:val="00326DA4"/>
    <w:rsid w:val="00327F58"/>
    <w:rsid w:val="00330223"/>
    <w:rsid w:val="00337777"/>
    <w:rsid w:val="00345EE2"/>
    <w:rsid w:val="003468B1"/>
    <w:rsid w:val="003507AF"/>
    <w:rsid w:val="00350DCA"/>
    <w:rsid w:val="0035209B"/>
    <w:rsid w:val="003526A3"/>
    <w:rsid w:val="003557D5"/>
    <w:rsid w:val="00360B53"/>
    <w:rsid w:val="00361B12"/>
    <w:rsid w:val="00361DBB"/>
    <w:rsid w:val="003625F4"/>
    <w:rsid w:val="00362C70"/>
    <w:rsid w:val="003646F4"/>
    <w:rsid w:val="00365E3C"/>
    <w:rsid w:val="00367828"/>
    <w:rsid w:val="00370317"/>
    <w:rsid w:val="00371151"/>
    <w:rsid w:val="00373422"/>
    <w:rsid w:val="00374579"/>
    <w:rsid w:val="00377A93"/>
    <w:rsid w:val="00377D5E"/>
    <w:rsid w:val="0038034A"/>
    <w:rsid w:val="00381E5F"/>
    <w:rsid w:val="003837B0"/>
    <w:rsid w:val="003844A9"/>
    <w:rsid w:val="00386426"/>
    <w:rsid w:val="003877CB"/>
    <w:rsid w:val="0039058D"/>
    <w:rsid w:val="003931B7"/>
    <w:rsid w:val="00393560"/>
    <w:rsid w:val="00393B40"/>
    <w:rsid w:val="003A234B"/>
    <w:rsid w:val="003A6D87"/>
    <w:rsid w:val="003B4012"/>
    <w:rsid w:val="003B4082"/>
    <w:rsid w:val="003B51EE"/>
    <w:rsid w:val="003C0B2E"/>
    <w:rsid w:val="003C26A8"/>
    <w:rsid w:val="003C3C2D"/>
    <w:rsid w:val="003C554D"/>
    <w:rsid w:val="003C6A7F"/>
    <w:rsid w:val="003E0721"/>
    <w:rsid w:val="003E1958"/>
    <w:rsid w:val="003E2BF0"/>
    <w:rsid w:val="003E4EAE"/>
    <w:rsid w:val="003F1D60"/>
    <w:rsid w:val="003F25A0"/>
    <w:rsid w:val="003F3641"/>
    <w:rsid w:val="003F38C7"/>
    <w:rsid w:val="003F3B5E"/>
    <w:rsid w:val="003F7331"/>
    <w:rsid w:val="004025A7"/>
    <w:rsid w:val="00404AA5"/>
    <w:rsid w:val="00404D61"/>
    <w:rsid w:val="0041518D"/>
    <w:rsid w:val="0041676E"/>
    <w:rsid w:val="004169FA"/>
    <w:rsid w:val="00417E3D"/>
    <w:rsid w:val="0042199D"/>
    <w:rsid w:val="004313E7"/>
    <w:rsid w:val="004332D1"/>
    <w:rsid w:val="00443DCA"/>
    <w:rsid w:val="00445E25"/>
    <w:rsid w:val="00445EB3"/>
    <w:rsid w:val="00450031"/>
    <w:rsid w:val="0045276D"/>
    <w:rsid w:val="004628F8"/>
    <w:rsid w:val="00464C79"/>
    <w:rsid w:val="00472E2D"/>
    <w:rsid w:val="00473BEB"/>
    <w:rsid w:val="00474546"/>
    <w:rsid w:val="004801EE"/>
    <w:rsid w:val="0048190B"/>
    <w:rsid w:val="004819BC"/>
    <w:rsid w:val="00482454"/>
    <w:rsid w:val="00482960"/>
    <w:rsid w:val="0048593B"/>
    <w:rsid w:val="004859EA"/>
    <w:rsid w:val="00485C08"/>
    <w:rsid w:val="004905CD"/>
    <w:rsid w:val="00492151"/>
    <w:rsid w:val="0049434C"/>
    <w:rsid w:val="00496593"/>
    <w:rsid w:val="004A08C0"/>
    <w:rsid w:val="004A137E"/>
    <w:rsid w:val="004A2B35"/>
    <w:rsid w:val="004A37BC"/>
    <w:rsid w:val="004A3816"/>
    <w:rsid w:val="004A4F23"/>
    <w:rsid w:val="004A5F5B"/>
    <w:rsid w:val="004B02FE"/>
    <w:rsid w:val="004B3A96"/>
    <w:rsid w:val="004B4418"/>
    <w:rsid w:val="004B63FC"/>
    <w:rsid w:val="004B6DCF"/>
    <w:rsid w:val="004C029C"/>
    <w:rsid w:val="004C2597"/>
    <w:rsid w:val="004C5520"/>
    <w:rsid w:val="004D33F3"/>
    <w:rsid w:val="004E2BCB"/>
    <w:rsid w:val="004E624C"/>
    <w:rsid w:val="004E6FA9"/>
    <w:rsid w:val="004F527E"/>
    <w:rsid w:val="004F5D65"/>
    <w:rsid w:val="00500217"/>
    <w:rsid w:val="005015DA"/>
    <w:rsid w:val="00503468"/>
    <w:rsid w:val="00516868"/>
    <w:rsid w:val="00522B3C"/>
    <w:rsid w:val="00523975"/>
    <w:rsid w:val="00531C59"/>
    <w:rsid w:val="0053276A"/>
    <w:rsid w:val="0053405C"/>
    <w:rsid w:val="00537174"/>
    <w:rsid w:val="00537FF0"/>
    <w:rsid w:val="00543A53"/>
    <w:rsid w:val="00544257"/>
    <w:rsid w:val="00552966"/>
    <w:rsid w:val="00553A7F"/>
    <w:rsid w:val="005555BC"/>
    <w:rsid w:val="00564AB5"/>
    <w:rsid w:val="0056718E"/>
    <w:rsid w:val="00576BF5"/>
    <w:rsid w:val="005806F9"/>
    <w:rsid w:val="00583486"/>
    <w:rsid w:val="00583F7F"/>
    <w:rsid w:val="00593F1B"/>
    <w:rsid w:val="00594748"/>
    <w:rsid w:val="005A322B"/>
    <w:rsid w:val="005B23A4"/>
    <w:rsid w:val="005B2A33"/>
    <w:rsid w:val="005B3530"/>
    <w:rsid w:val="005B3CB4"/>
    <w:rsid w:val="005B6EF8"/>
    <w:rsid w:val="005C2986"/>
    <w:rsid w:val="005C30A1"/>
    <w:rsid w:val="005C31E3"/>
    <w:rsid w:val="005C3A3B"/>
    <w:rsid w:val="005C40CE"/>
    <w:rsid w:val="005C7A49"/>
    <w:rsid w:val="005C7F4B"/>
    <w:rsid w:val="005C7F92"/>
    <w:rsid w:val="005D1A18"/>
    <w:rsid w:val="005D1B24"/>
    <w:rsid w:val="005D5272"/>
    <w:rsid w:val="005E1FB0"/>
    <w:rsid w:val="005F197D"/>
    <w:rsid w:val="005F1AF4"/>
    <w:rsid w:val="005F53B1"/>
    <w:rsid w:val="00602E1B"/>
    <w:rsid w:val="00604F23"/>
    <w:rsid w:val="00605AF4"/>
    <w:rsid w:val="00611548"/>
    <w:rsid w:val="00611C4C"/>
    <w:rsid w:val="00612105"/>
    <w:rsid w:val="0061321E"/>
    <w:rsid w:val="006138B5"/>
    <w:rsid w:val="0061693D"/>
    <w:rsid w:val="006224FB"/>
    <w:rsid w:val="00625AB5"/>
    <w:rsid w:val="00635DF8"/>
    <w:rsid w:val="0064375F"/>
    <w:rsid w:val="00644723"/>
    <w:rsid w:val="006459A7"/>
    <w:rsid w:val="00653DCB"/>
    <w:rsid w:val="006544B0"/>
    <w:rsid w:val="006576B7"/>
    <w:rsid w:val="006620D9"/>
    <w:rsid w:val="0066263B"/>
    <w:rsid w:val="0066276D"/>
    <w:rsid w:val="006641EF"/>
    <w:rsid w:val="00667968"/>
    <w:rsid w:val="00671740"/>
    <w:rsid w:val="006727CB"/>
    <w:rsid w:val="00673213"/>
    <w:rsid w:val="00677C1B"/>
    <w:rsid w:val="00680218"/>
    <w:rsid w:val="00680D8E"/>
    <w:rsid w:val="00690A04"/>
    <w:rsid w:val="006A198E"/>
    <w:rsid w:val="006A29B6"/>
    <w:rsid w:val="006A37D3"/>
    <w:rsid w:val="006A39FD"/>
    <w:rsid w:val="006A44D1"/>
    <w:rsid w:val="006A7A66"/>
    <w:rsid w:val="006B435E"/>
    <w:rsid w:val="006C2365"/>
    <w:rsid w:val="006C539D"/>
    <w:rsid w:val="006D4205"/>
    <w:rsid w:val="006D5644"/>
    <w:rsid w:val="006D7AA7"/>
    <w:rsid w:val="006E03FC"/>
    <w:rsid w:val="006E0FFB"/>
    <w:rsid w:val="006E2D76"/>
    <w:rsid w:val="006E2E25"/>
    <w:rsid w:val="006E3EA0"/>
    <w:rsid w:val="006E5C62"/>
    <w:rsid w:val="006E5CFA"/>
    <w:rsid w:val="006F1594"/>
    <w:rsid w:val="006F15CF"/>
    <w:rsid w:val="006F37D2"/>
    <w:rsid w:val="00701C2B"/>
    <w:rsid w:val="007034CF"/>
    <w:rsid w:val="00703731"/>
    <w:rsid w:val="00703F9A"/>
    <w:rsid w:val="00706679"/>
    <w:rsid w:val="00707EC0"/>
    <w:rsid w:val="00716332"/>
    <w:rsid w:val="00716D91"/>
    <w:rsid w:val="007203B6"/>
    <w:rsid w:val="007240BA"/>
    <w:rsid w:val="00730DA9"/>
    <w:rsid w:val="00731321"/>
    <w:rsid w:val="007328F4"/>
    <w:rsid w:val="00736013"/>
    <w:rsid w:val="00743732"/>
    <w:rsid w:val="00744AAC"/>
    <w:rsid w:val="007452E1"/>
    <w:rsid w:val="007466D6"/>
    <w:rsid w:val="00746742"/>
    <w:rsid w:val="00750202"/>
    <w:rsid w:val="00750C0E"/>
    <w:rsid w:val="00752354"/>
    <w:rsid w:val="007542C5"/>
    <w:rsid w:val="00762DF5"/>
    <w:rsid w:val="007647F4"/>
    <w:rsid w:val="00764B26"/>
    <w:rsid w:val="007665F2"/>
    <w:rsid w:val="00766BE7"/>
    <w:rsid w:val="0077073A"/>
    <w:rsid w:val="00774317"/>
    <w:rsid w:val="0077755A"/>
    <w:rsid w:val="007806D1"/>
    <w:rsid w:val="00785B28"/>
    <w:rsid w:val="00790492"/>
    <w:rsid w:val="007908E6"/>
    <w:rsid w:val="00793AC5"/>
    <w:rsid w:val="007956A9"/>
    <w:rsid w:val="007959AB"/>
    <w:rsid w:val="007969F1"/>
    <w:rsid w:val="00797CA8"/>
    <w:rsid w:val="00797D28"/>
    <w:rsid w:val="007A2F5E"/>
    <w:rsid w:val="007A4C4B"/>
    <w:rsid w:val="007A531D"/>
    <w:rsid w:val="007C778E"/>
    <w:rsid w:val="007D22AD"/>
    <w:rsid w:val="007D35FC"/>
    <w:rsid w:val="007D4CFE"/>
    <w:rsid w:val="007E23D9"/>
    <w:rsid w:val="007E26D6"/>
    <w:rsid w:val="007E4F22"/>
    <w:rsid w:val="007F1569"/>
    <w:rsid w:val="00803A15"/>
    <w:rsid w:val="00804473"/>
    <w:rsid w:val="008069ED"/>
    <w:rsid w:val="00812BFE"/>
    <w:rsid w:val="00814B51"/>
    <w:rsid w:val="00815979"/>
    <w:rsid w:val="008228E2"/>
    <w:rsid w:val="008247AC"/>
    <w:rsid w:val="00827804"/>
    <w:rsid w:val="00830051"/>
    <w:rsid w:val="008322E5"/>
    <w:rsid w:val="008405C3"/>
    <w:rsid w:val="008406A8"/>
    <w:rsid w:val="00845A2E"/>
    <w:rsid w:val="00845C16"/>
    <w:rsid w:val="00846CA4"/>
    <w:rsid w:val="008510EB"/>
    <w:rsid w:val="00853CB9"/>
    <w:rsid w:val="00854230"/>
    <w:rsid w:val="00855E7A"/>
    <w:rsid w:val="00856554"/>
    <w:rsid w:val="00857C98"/>
    <w:rsid w:val="00857D31"/>
    <w:rsid w:val="008601B8"/>
    <w:rsid w:val="00860276"/>
    <w:rsid w:val="00863954"/>
    <w:rsid w:val="008729E9"/>
    <w:rsid w:val="00873791"/>
    <w:rsid w:val="008744DB"/>
    <w:rsid w:val="00876081"/>
    <w:rsid w:val="008765B5"/>
    <w:rsid w:val="00877489"/>
    <w:rsid w:val="00877F0E"/>
    <w:rsid w:val="008813AF"/>
    <w:rsid w:val="00882786"/>
    <w:rsid w:val="00885CF6"/>
    <w:rsid w:val="0088674A"/>
    <w:rsid w:val="00886EBE"/>
    <w:rsid w:val="00891DEC"/>
    <w:rsid w:val="00895B79"/>
    <w:rsid w:val="008A01B5"/>
    <w:rsid w:val="008A24BF"/>
    <w:rsid w:val="008A3FC4"/>
    <w:rsid w:val="008A6018"/>
    <w:rsid w:val="008B2EDC"/>
    <w:rsid w:val="008B52B5"/>
    <w:rsid w:val="008D3EF0"/>
    <w:rsid w:val="008D60D3"/>
    <w:rsid w:val="008D6642"/>
    <w:rsid w:val="008D68D6"/>
    <w:rsid w:val="008E3463"/>
    <w:rsid w:val="008E4C5D"/>
    <w:rsid w:val="008F5547"/>
    <w:rsid w:val="008F6C04"/>
    <w:rsid w:val="00900D8F"/>
    <w:rsid w:val="00902229"/>
    <w:rsid w:val="009040D1"/>
    <w:rsid w:val="00905A79"/>
    <w:rsid w:val="009070D5"/>
    <w:rsid w:val="00910215"/>
    <w:rsid w:val="00911DE3"/>
    <w:rsid w:val="00915DB3"/>
    <w:rsid w:val="00923DD3"/>
    <w:rsid w:val="009250E5"/>
    <w:rsid w:val="009255F5"/>
    <w:rsid w:val="00925E37"/>
    <w:rsid w:val="00931391"/>
    <w:rsid w:val="00933E61"/>
    <w:rsid w:val="00935D4B"/>
    <w:rsid w:val="00942798"/>
    <w:rsid w:val="009451AE"/>
    <w:rsid w:val="00947B57"/>
    <w:rsid w:val="00947B81"/>
    <w:rsid w:val="00951D0E"/>
    <w:rsid w:val="009548A4"/>
    <w:rsid w:val="009575C7"/>
    <w:rsid w:val="0095772B"/>
    <w:rsid w:val="0096149D"/>
    <w:rsid w:val="009621AA"/>
    <w:rsid w:val="00963DD4"/>
    <w:rsid w:val="00963EB9"/>
    <w:rsid w:val="00965778"/>
    <w:rsid w:val="00966261"/>
    <w:rsid w:val="00970B5B"/>
    <w:rsid w:val="0097387E"/>
    <w:rsid w:val="00981E49"/>
    <w:rsid w:val="00982F07"/>
    <w:rsid w:val="00983D8D"/>
    <w:rsid w:val="00985117"/>
    <w:rsid w:val="00986DDF"/>
    <w:rsid w:val="00990499"/>
    <w:rsid w:val="00996A83"/>
    <w:rsid w:val="009A6FFF"/>
    <w:rsid w:val="009A7035"/>
    <w:rsid w:val="009B356F"/>
    <w:rsid w:val="009B690E"/>
    <w:rsid w:val="009B6A1F"/>
    <w:rsid w:val="009B6E50"/>
    <w:rsid w:val="009C62E4"/>
    <w:rsid w:val="009D2DD6"/>
    <w:rsid w:val="009E071D"/>
    <w:rsid w:val="009E69D1"/>
    <w:rsid w:val="009F2039"/>
    <w:rsid w:val="009F25D7"/>
    <w:rsid w:val="009F4FA7"/>
    <w:rsid w:val="00A01DD7"/>
    <w:rsid w:val="00A13D97"/>
    <w:rsid w:val="00A1567E"/>
    <w:rsid w:val="00A2182E"/>
    <w:rsid w:val="00A31A88"/>
    <w:rsid w:val="00A32ADA"/>
    <w:rsid w:val="00A34921"/>
    <w:rsid w:val="00A414BC"/>
    <w:rsid w:val="00A55F2D"/>
    <w:rsid w:val="00A613B7"/>
    <w:rsid w:val="00A629F3"/>
    <w:rsid w:val="00A62DC1"/>
    <w:rsid w:val="00A64008"/>
    <w:rsid w:val="00A640BF"/>
    <w:rsid w:val="00A67551"/>
    <w:rsid w:val="00A710C8"/>
    <w:rsid w:val="00A77976"/>
    <w:rsid w:val="00A81989"/>
    <w:rsid w:val="00A866B4"/>
    <w:rsid w:val="00A875C4"/>
    <w:rsid w:val="00A906F7"/>
    <w:rsid w:val="00A917DB"/>
    <w:rsid w:val="00A92560"/>
    <w:rsid w:val="00A9273F"/>
    <w:rsid w:val="00A92C60"/>
    <w:rsid w:val="00A970D9"/>
    <w:rsid w:val="00AA5EAB"/>
    <w:rsid w:val="00AA778F"/>
    <w:rsid w:val="00AC57B8"/>
    <w:rsid w:val="00AC6963"/>
    <w:rsid w:val="00AC6F33"/>
    <w:rsid w:val="00AD067D"/>
    <w:rsid w:val="00AD211D"/>
    <w:rsid w:val="00AE0295"/>
    <w:rsid w:val="00AE2EF1"/>
    <w:rsid w:val="00AE45DB"/>
    <w:rsid w:val="00AE4810"/>
    <w:rsid w:val="00AF2DA2"/>
    <w:rsid w:val="00AF5897"/>
    <w:rsid w:val="00AF6ED1"/>
    <w:rsid w:val="00B00586"/>
    <w:rsid w:val="00B01AA1"/>
    <w:rsid w:val="00B01DEB"/>
    <w:rsid w:val="00B033B0"/>
    <w:rsid w:val="00B073C7"/>
    <w:rsid w:val="00B12642"/>
    <w:rsid w:val="00B14483"/>
    <w:rsid w:val="00B161DC"/>
    <w:rsid w:val="00B16E81"/>
    <w:rsid w:val="00B2104E"/>
    <w:rsid w:val="00B247A9"/>
    <w:rsid w:val="00B36A84"/>
    <w:rsid w:val="00B40E99"/>
    <w:rsid w:val="00B4379F"/>
    <w:rsid w:val="00B448DD"/>
    <w:rsid w:val="00B51960"/>
    <w:rsid w:val="00B52334"/>
    <w:rsid w:val="00B5263E"/>
    <w:rsid w:val="00B52D0A"/>
    <w:rsid w:val="00B64790"/>
    <w:rsid w:val="00B65306"/>
    <w:rsid w:val="00B65961"/>
    <w:rsid w:val="00B667B1"/>
    <w:rsid w:val="00B708DA"/>
    <w:rsid w:val="00B76700"/>
    <w:rsid w:val="00B76E9F"/>
    <w:rsid w:val="00B92D25"/>
    <w:rsid w:val="00B93579"/>
    <w:rsid w:val="00B96010"/>
    <w:rsid w:val="00BA2605"/>
    <w:rsid w:val="00BA2D64"/>
    <w:rsid w:val="00BA3A8A"/>
    <w:rsid w:val="00BB2F23"/>
    <w:rsid w:val="00BB39E4"/>
    <w:rsid w:val="00BB47E5"/>
    <w:rsid w:val="00BB5988"/>
    <w:rsid w:val="00BB75AD"/>
    <w:rsid w:val="00BC4063"/>
    <w:rsid w:val="00BC557C"/>
    <w:rsid w:val="00BD0D11"/>
    <w:rsid w:val="00BD184E"/>
    <w:rsid w:val="00BD7049"/>
    <w:rsid w:val="00BD72AF"/>
    <w:rsid w:val="00BE3237"/>
    <w:rsid w:val="00BE37E9"/>
    <w:rsid w:val="00BF0267"/>
    <w:rsid w:val="00BF4530"/>
    <w:rsid w:val="00BF4B9F"/>
    <w:rsid w:val="00BF4F50"/>
    <w:rsid w:val="00BF5BD0"/>
    <w:rsid w:val="00C02839"/>
    <w:rsid w:val="00C057FA"/>
    <w:rsid w:val="00C0730F"/>
    <w:rsid w:val="00C11A4D"/>
    <w:rsid w:val="00C15B82"/>
    <w:rsid w:val="00C17081"/>
    <w:rsid w:val="00C178E0"/>
    <w:rsid w:val="00C20611"/>
    <w:rsid w:val="00C22D84"/>
    <w:rsid w:val="00C32FB2"/>
    <w:rsid w:val="00C3307C"/>
    <w:rsid w:val="00C354DE"/>
    <w:rsid w:val="00C45EAD"/>
    <w:rsid w:val="00C476CE"/>
    <w:rsid w:val="00C47776"/>
    <w:rsid w:val="00C54143"/>
    <w:rsid w:val="00C609B7"/>
    <w:rsid w:val="00C60A2C"/>
    <w:rsid w:val="00C7222F"/>
    <w:rsid w:val="00C738F5"/>
    <w:rsid w:val="00C80DBB"/>
    <w:rsid w:val="00C8234A"/>
    <w:rsid w:val="00C850A5"/>
    <w:rsid w:val="00C86E31"/>
    <w:rsid w:val="00C87911"/>
    <w:rsid w:val="00C976FC"/>
    <w:rsid w:val="00CA29C2"/>
    <w:rsid w:val="00CA380D"/>
    <w:rsid w:val="00CA3DF2"/>
    <w:rsid w:val="00CA6DA0"/>
    <w:rsid w:val="00CA7DD8"/>
    <w:rsid w:val="00CB151F"/>
    <w:rsid w:val="00CB1CC6"/>
    <w:rsid w:val="00CB2EE2"/>
    <w:rsid w:val="00CB5673"/>
    <w:rsid w:val="00CB6F48"/>
    <w:rsid w:val="00CC7477"/>
    <w:rsid w:val="00CC7E56"/>
    <w:rsid w:val="00CD26F7"/>
    <w:rsid w:val="00CD4AEB"/>
    <w:rsid w:val="00CD63CE"/>
    <w:rsid w:val="00CD77AB"/>
    <w:rsid w:val="00CE347E"/>
    <w:rsid w:val="00CE672D"/>
    <w:rsid w:val="00CE6899"/>
    <w:rsid w:val="00CE6DC9"/>
    <w:rsid w:val="00CF451E"/>
    <w:rsid w:val="00D00CF8"/>
    <w:rsid w:val="00D01373"/>
    <w:rsid w:val="00D11E5B"/>
    <w:rsid w:val="00D122C9"/>
    <w:rsid w:val="00D1296F"/>
    <w:rsid w:val="00D14F9F"/>
    <w:rsid w:val="00D22D82"/>
    <w:rsid w:val="00D34F27"/>
    <w:rsid w:val="00D4022D"/>
    <w:rsid w:val="00D4273A"/>
    <w:rsid w:val="00D4661D"/>
    <w:rsid w:val="00D46C32"/>
    <w:rsid w:val="00D50458"/>
    <w:rsid w:val="00D566BC"/>
    <w:rsid w:val="00D63450"/>
    <w:rsid w:val="00D63732"/>
    <w:rsid w:val="00D63C41"/>
    <w:rsid w:val="00D6643A"/>
    <w:rsid w:val="00D72040"/>
    <w:rsid w:val="00D72973"/>
    <w:rsid w:val="00D72B8C"/>
    <w:rsid w:val="00D763D9"/>
    <w:rsid w:val="00D76600"/>
    <w:rsid w:val="00D76C9E"/>
    <w:rsid w:val="00D82764"/>
    <w:rsid w:val="00D87DEC"/>
    <w:rsid w:val="00D92DC1"/>
    <w:rsid w:val="00D93B30"/>
    <w:rsid w:val="00D95838"/>
    <w:rsid w:val="00D97813"/>
    <w:rsid w:val="00DA7F1C"/>
    <w:rsid w:val="00DB6DF4"/>
    <w:rsid w:val="00DB71F5"/>
    <w:rsid w:val="00DC31FB"/>
    <w:rsid w:val="00DC720F"/>
    <w:rsid w:val="00DD16CF"/>
    <w:rsid w:val="00DD1C47"/>
    <w:rsid w:val="00DD3504"/>
    <w:rsid w:val="00DD35C8"/>
    <w:rsid w:val="00DD3E91"/>
    <w:rsid w:val="00DD6E44"/>
    <w:rsid w:val="00DE387E"/>
    <w:rsid w:val="00DE64E6"/>
    <w:rsid w:val="00DF3159"/>
    <w:rsid w:val="00DF5513"/>
    <w:rsid w:val="00DF59FB"/>
    <w:rsid w:val="00DF7B35"/>
    <w:rsid w:val="00E10922"/>
    <w:rsid w:val="00E1370E"/>
    <w:rsid w:val="00E151A4"/>
    <w:rsid w:val="00E2017D"/>
    <w:rsid w:val="00E20BE3"/>
    <w:rsid w:val="00E21D2C"/>
    <w:rsid w:val="00E224C3"/>
    <w:rsid w:val="00E22CB9"/>
    <w:rsid w:val="00E24C8C"/>
    <w:rsid w:val="00E27DC1"/>
    <w:rsid w:val="00E30502"/>
    <w:rsid w:val="00E34374"/>
    <w:rsid w:val="00E42DD5"/>
    <w:rsid w:val="00E47A88"/>
    <w:rsid w:val="00E5068C"/>
    <w:rsid w:val="00E50745"/>
    <w:rsid w:val="00E542E9"/>
    <w:rsid w:val="00E560E3"/>
    <w:rsid w:val="00E60457"/>
    <w:rsid w:val="00E63250"/>
    <w:rsid w:val="00E65E7D"/>
    <w:rsid w:val="00E74B65"/>
    <w:rsid w:val="00E7725D"/>
    <w:rsid w:val="00E80C5A"/>
    <w:rsid w:val="00E80D26"/>
    <w:rsid w:val="00E8287C"/>
    <w:rsid w:val="00E82E8F"/>
    <w:rsid w:val="00E83475"/>
    <w:rsid w:val="00E92D8F"/>
    <w:rsid w:val="00E936EF"/>
    <w:rsid w:val="00E9502C"/>
    <w:rsid w:val="00E952C2"/>
    <w:rsid w:val="00EA0AB7"/>
    <w:rsid w:val="00EA103A"/>
    <w:rsid w:val="00EA2C12"/>
    <w:rsid w:val="00EA588C"/>
    <w:rsid w:val="00EA5EAF"/>
    <w:rsid w:val="00EB0E13"/>
    <w:rsid w:val="00EB4C99"/>
    <w:rsid w:val="00EB77A4"/>
    <w:rsid w:val="00EC00B5"/>
    <w:rsid w:val="00EC5C5E"/>
    <w:rsid w:val="00ED1854"/>
    <w:rsid w:val="00ED2E15"/>
    <w:rsid w:val="00ED7270"/>
    <w:rsid w:val="00ED7F54"/>
    <w:rsid w:val="00ED7F65"/>
    <w:rsid w:val="00EE1AD7"/>
    <w:rsid w:val="00EE46BE"/>
    <w:rsid w:val="00EF10AA"/>
    <w:rsid w:val="00EF14C6"/>
    <w:rsid w:val="00F00C10"/>
    <w:rsid w:val="00F058C0"/>
    <w:rsid w:val="00F137F6"/>
    <w:rsid w:val="00F14D4E"/>
    <w:rsid w:val="00F15C1F"/>
    <w:rsid w:val="00F20DBA"/>
    <w:rsid w:val="00F228BD"/>
    <w:rsid w:val="00F24157"/>
    <w:rsid w:val="00F267F8"/>
    <w:rsid w:val="00F321B7"/>
    <w:rsid w:val="00F36729"/>
    <w:rsid w:val="00F4111A"/>
    <w:rsid w:val="00F433D9"/>
    <w:rsid w:val="00F46DD6"/>
    <w:rsid w:val="00F50EE9"/>
    <w:rsid w:val="00F57ED8"/>
    <w:rsid w:val="00F66B99"/>
    <w:rsid w:val="00F70415"/>
    <w:rsid w:val="00F743C9"/>
    <w:rsid w:val="00F77D98"/>
    <w:rsid w:val="00F80C98"/>
    <w:rsid w:val="00F80D5E"/>
    <w:rsid w:val="00F829F0"/>
    <w:rsid w:val="00F93882"/>
    <w:rsid w:val="00F93ABC"/>
    <w:rsid w:val="00FA0CE6"/>
    <w:rsid w:val="00FA1035"/>
    <w:rsid w:val="00FA469A"/>
    <w:rsid w:val="00FA5F48"/>
    <w:rsid w:val="00FB1480"/>
    <w:rsid w:val="00FB1EDC"/>
    <w:rsid w:val="00FB6920"/>
    <w:rsid w:val="00FB7832"/>
    <w:rsid w:val="00FC05CC"/>
    <w:rsid w:val="00FC379D"/>
    <w:rsid w:val="00FC393A"/>
    <w:rsid w:val="00FC6B04"/>
    <w:rsid w:val="00FD326D"/>
    <w:rsid w:val="00FD5884"/>
    <w:rsid w:val="00FD5BBD"/>
    <w:rsid w:val="00FD6041"/>
    <w:rsid w:val="00FE03F4"/>
    <w:rsid w:val="00FE134F"/>
    <w:rsid w:val="00FE5B93"/>
    <w:rsid w:val="00FE5D0E"/>
    <w:rsid w:val="00FE68E8"/>
    <w:rsid w:val="00FE7048"/>
    <w:rsid w:val="00FF213C"/>
    <w:rsid w:val="00FF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24C1B"/>
  <w15:chartTrackingRefBased/>
  <w15:docId w15:val="{56FB3712-F3EA-4AF6-B37E-F332407B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FF0"/>
    <w:pPr>
      <w:spacing w:after="0" w:line="240" w:lineRule="auto"/>
    </w:pPr>
    <w:rPr>
      <w:rFonts w:ascii="Times New Roman" w:eastAsia="NSimSun" w:hAnsi="Times New Roman" w:cs="Arial"/>
      <w:kern w:val="2"/>
      <w:sz w:val="24"/>
      <w:szCs w:val="24"/>
      <w:lang w:eastAsia="zh-CN" w:bidi="hi-IN"/>
    </w:rPr>
  </w:style>
  <w:style w:type="paragraph" w:styleId="Heading1">
    <w:name w:val="heading 1"/>
    <w:basedOn w:val="Normal"/>
    <w:next w:val="Normal"/>
    <w:link w:val="Heading1Char"/>
    <w:uiPriority w:val="9"/>
    <w:qFormat/>
    <w:rsid w:val="00EC5C5E"/>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Normal"/>
    <w:link w:val="Heading2Char"/>
    <w:uiPriority w:val="9"/>
    <w:unhideWhenUsed/>
    <w:qFormat/>
    <w:rsid w:val="00C15B82"/>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5">
    <w:name w:val="heading 5"/>
    <w:basedOn w:val="Normal"/>
    <w:link w:val="Heading5Char"/>
    <w:uiPriority w:val="9"/>
    <w:qFormat/>
    <w:rsid w:val="00EC5C5E"/>
    <w:pPr>
      <w:spacing w:before="100" w:beforeAutospacing="1" w:after="100" w:afterAutospacing="1"/>
      <w:outlineLvl w:val="4"/>
    </w:pPr>
    <w:rPr>
      <w:rFonts w:eastAsia="Times New Roman" w:cs="Times New Roman"/>
      <w:b/>
      <w:bCs/>
      <w:kern w:val="0"/>
      <w:sz w:val="20"/>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178E0"/>
    <w:rPr>
      <w:rFonts w:cs="Mangal"/>
      <w:sz w:val="20"/>
      <w:szCs w:val="18"/>
    </w:rPr>
  </w:style>
  <w:style w:type="character" w:customStyle="1" w:styleId="FootnoteTextChar">
    <w:name w:val="Footnote Text Char"/>
    <w:basedOn w:val="DefaultParagraphFont"/>
    <w:link w:val="FootnoteText"/>
    <w:uiPriority w:val="99"/>
    <w:semiHidden/>
    <w:rsid w:val="00C178E0"/>
    <w:rPr>
      <w:rFonts w:ascii="Times New Roman" w:eastAsia="NSimSun" w:hAnsi="Times New Roman" w:cs="Mangal"/>
      <w:kern w:val="2"/>
      <w:sz w:val="20"/>
      <w:szCs w:val="18"/>
      <w:lang w:eastAsia="zh-CN" w:bidi="hi-IN"/>
    </w:rPr>
  </w:style>
  <w:style w:type="character" w:styleId="FootnoteReference">
    <w:name w:val="footnote reference"/>
    <w:basedOn w:val="DefaultParagraphFont"/>
    <w:uiPriority w:val="99"/>
    <w:unhideWhenUsed/>
    <w:rsid w:val="00C178E0"/>
    <w:rPr>
      <w:vertAlign w:val="superscript"/>
    </w:rPr>
  </w:style>
  <w:style w:type="paragraph" w:styleId="EndnoteText">
    <w:name w:val="endnote text"/>
    <w:basedOn w:val="Normal"/>
    <w:link w:val="EndnoteTextChar"/>
    <w:uiPriority w:val="99"/>
    <w:semiHidden/>
    <w:unhideWhenUsed/>
    <w:rsid w:val="00C178E0"/>
    <w:rPr>
      <w:rFonts w:cs="Mangal"/>
      <w:sz w:val="20"/>
      <w:szCs w:val="18"/>
    </w:rPr>
  </w:style>
  <w:style w:type="character" w:customStyle="1" w:styleId="EndnoteTextChar">
    <w:name w:val="Endnote Text Char"/>
    <w:basedOn w:val="DefaultParagraphFont"/>
    <w:link w:val="EndnoteText"/>
    <w:uiPriority w:val="99"/>
    <w:semiHidden/>
    <w:rsid w:val="00C178E0"/>
    <w:rPr>
      <w:rFonts w:ascii="Times New Roman" w:eastAsia="NSimSun" w:hAnsi="Times New Roman" w:cs="Mangal"/>
      <w:kern w:val="2"/>
      <w:sz w:val="20"/>
      <w:szCs w:val="18"/>
      <w:lang w:eastAsia="zh-CN" w:bidi="hi-IN"/>
    </w:rPr>
  </w:style>
  <w:style w:type="character" w:styleId="EndnoteReference">
    <w:name w:val="endnote reference"/>
    <w:basedOn w:val="DefaultParagraphFont"/>
    <w:uiPriority w:val="99"/>
    <w:unhideWhenUsed/>
    <w:rsid w:val="00C178E0"/>
    <w:rPr>
      <w:vertAlign w:val="superscript"/>
    </w:rPr>
  </w:style>
  <w:style w:type="character" w:styleId="Hyperlink">
    <w:name w:val="Hyperlink"/>
    <w:basedOn w:val="DefaultParagraphFont"/>
    <w:uiPriority w:val="99"/>
    <w:unhideWhenUsed/>
    <w:rsid w:val="00144C95"/>
    <w:rPr>
      <w:color w:val="0563C1" w:themeColor="hyperlink"/>
      <w:u w:val="single"/>
    </w:rPr>
  </w:style>
  <w:style w:type="character" w:styleId="UnresolvedMention">
    <w:name w:val="Unresolved Mention"/>
    <w:basedOn w:val="DefaultParagraphFont"/>
    <w:uiPriority w:val="99"/>
    <w:semiHidden/>
    <w:unhideWhenUsed/>
    <w:rsid w:val="00144C95"/>
    <w:rPr>
      <w:color w:val="605E5C"/>
      <w:shd w:val="clear" w:color="auto" w:fill="E1DFDD"/>
    </w:rPr>
  </w:style>
  <w:style w:type="character" w:styleId="FollowedHyperlink">
    <w:name w:val="FollowedHyperlink"/>
    <w:basedOn w:val="DefaultParagraphFont"/>
    <w:uiPriority w:val="99"/>
    <w:semiHidden/>
    <w:unhideWhenUsed/>
    <w:rsid w:val="00144C95"/>
    <w:rPr>
      <w:color w:val="954F72" w:themeColor="followedHyperlink"/>
      <w:u w:val="single"/>
    </w:rPr>
  </w:style>
  <w:style w:type="paragraph" w:styleId="ListParagraph">
    <w:name w:val="List Paragraph"/>
    <w:basedOn w:val="Normal"/>
    <w:uiPriority w:val="34"/>
    <w:qFormat/>
    <w:rsid w:val="004A3816"/>
    <w:pPr>
      <w:ind w:left="720"/>
      <w:contextualSpacing/>
    </w:pPr>
    <w:rPr>
      <w:rFonts w:cs="Mangal"/>
      <w:szCs w:val="21"/>
    </w:rPr>
  </w:style>
  <w:style w:type="table" w:styleId="TableGrid">
    <w:name w:val="Table Grid"/>
    <w:basedOn w:val="TableNormal"/>
    <w:uiPriority w:val="39"/>
    <w:rsid w:val="00F36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46CA4"/>
    <w:pPr>
      <w:spacing w:after="200"/>
    </w:pPr>
    <w:rPr>
      <w:rFonts w:cs="Mangal"/>
      <w:i/>
      <w:iCs/>
      <w:color w:val="44546A" w:themeColor="text2"/>
      <w:sz w:val="18"/>
      <w:szCs w:val="16"/>
    </w:rPr>
  </w:style>
  <w:style w:type="paragraph" w:styleId="Revision">
    <w:name w:val="Revision"/>
    <w:hidden/>
    <w:uiPriority w:val="99"/>
    <w:semiHidden/>
    <w:rsid w:val="000977AC"/>
    <w:pPr>
      <w:spacing w:after="0" w:line="240" w:lineRule="auto"/>
    </w:pPr>
    <w:rPr>
      <w:rFonts w:ascii="Times New Roman" w:eastAsia="NSimSun" w:hAnsi="Times New Roman" w:cs="Mangal"/>
      <w:kern w:val="2"/>
      <w:sz w:val="24"/>
      <w:szCs w:val="21"/>
      <w:lang w:eastAsia="zh-CN" w:bidi="hi-IN"/>
    </w:rPr>
  </w:style>
  <w:style w:type="character" w:styleId="HTMLCite">
    <w:name w:val="HTML Cite"/>
    <w:basedOn w:val="DefaultParagraphFont"/>
    <w:uiPriority w:val="99"/>
    <w:semiHidden/>
    <w:unhideWhenUsed/>
    <w:rsid w:val="000977AC"/>
    <w:rPr>
      <w:i/>
      <w:iCs/>
    </w:rPr>
  </w:style>
  <w:style w:type="paragraph" w:styleId="Header">
    <w:name w:val="header"/>
    <w:basedOn w:val="Normal"/>
    <w:link w:val="HeaderChar"/>
    <w:uiPriority w:val="99"/>
    <w:unhideWhenUsed/>
    <w:rsid w:val="000977A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0977AC"/>
    <w:rPr>
      <w:rFonts w:ascii="Times New Roman" w:eastAsia="NSimSun" w:hAnsi="Times New Roman" w:cs="Mangal"/>
      <w:kern w:val="2"/>
      <w:sz w:val="24"/>
      <w:szCs w:val="21"/>
      <w:lang w:eastAsia="zh-CN" w:bidi="hi-IN"/>
    </w:rPr>
  </w:style>
  <w:style w:type="paragraph" w:styleId="Footer">
    <w:name w:val="footer"/>
    <w:basedOn w:val="Normal"/>
    <w:link w:val="FooterChar"/>
    <w:uiPriority w:val="99"/>
    <w:unhideWhenUsed/>
    <w:rsid w:val="000977AC"/>
    <w:pPr>
      <w:tabs>
        <w:tab w:val="center" w:pos="4680"/>
        <w:tab w:val="right" w:pos="9360"/>
      </w:tabs>
    </w:pPr>
    <w:rPr>
      <w:rFonts w:cs="Mangal"/>
      <w:szCs w:val="21"/>
    </w:rPr>
  </w:style>
  <w:style w:type="character" w:customStyle="1" w:styleId="FooterChar">
    <w:name w:val="Footer Char"/>
    <w:basedOn w:val="DefaultParagraphFont"/>
    <w:link w:val="Footer"/>
    <w:uiPriority w:val="99"/>
    <w:rsid w:val="000977AC"/>
    <w:rPr>
      <w:rFonts w:ascii="Times New Roman" w:eastAsia="NSimSun" w:hAnsi="Times New Roman" w:cs="Mangal"/>
      <w:kern w:val="2"/>
      <w:sz w:val="24"/>
      <w:szCs w:val="21"/>
      <w:lang w:eastAsia="zh-CN" w:bidi="hi-IN"/>
    </w:rPr>
  </w:style>
  <w:style w:type="character" w:customStyle="1" w:styleId="moduletitlelink">
    <w:name w:val="module__title__link"/>
    <w:basedOn w:val="DefaultParagraphFont"/>
    <w:rsid w:val="001D748F"/>
  </w:style>
  <w:style w:type="character" w:styleId="PlaceholderText">
    <w:name w:val="Placeholder Text"/>
    <w:basedOn w:val="DefaultParagraphFont"/>
    <w:uiPriority w:val="99"/>
    <w:semiHidden/>
    <w:rsid w:val="00963DD4"/>
    <w:rPr>
      <w:color w:val="666666"/>
    </w:rPr>
  </w:style>
  <w:style w:type="paragraph" w:styleId="NoSpacing">
    <w:name w:val="No Spacing"/>
    <w:uiPriority w:val="1"/>
    <w:qFormat/>
    <w:rsid w:val="00543A53"/>
    <w:pPr>
      <w:spacing w:after="0" w:line="240" w:lineRule="auto"/>
    </w:pPr>
    <w:rPr>
      <w:rFonts w:ascii="Times New Roman" w:eastAsia="NSimSun" w:hAnsi="Times New Roman" w:cs="Mangal"/>
      <w:kern w:val="2"/>
      <w:sz w:val="24"/>
      <w:szCs w:val="21"/>
      <w:lang w:eastAsia="zh-CN" w:bidi="hi-IN"/>
    </w:rPr>
  </w:style>
  <w:style w:type="character" w:customStyle="1" w:styleId="Heading5Char">
    <w:name w:val="Heading 5 Char"/>
    <w:basedOn w:val="DefaultParagraphFont"/>
    <w:link w:val="Heading5"/>
    <w:uiPriority w:val="9"/>
    <w:rsid w:val="00EC5C5E"/>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EC5C5E"/>
    <w:rPr>
      <w:rFonts w:asciiTheme="majorHAnsi" w:eastAsiaTheme="majorEastAsia" w:hAnsiTheme="majorHAnsi" w:cs="Mangal"/>
      <w:color w:val="2F5496" w:themeColor="accent1" w:themeShade="BF"/>
      <w:kern w:val="2"/>
      <w:sz w:val="32"/>
      <w:szCs w:val="29"/>
      <w:lang w:eastAsia="zh-CN" w:bidi="hi-IN"/>
    </w:rPr>
  </w:style>
  <w:style w:type="character" w:customStyle="1" w:styleId="title-text">
    <w:name w:val="title-text"/>
    <w:basedOn w:val="DefaultParagraphFont"/>
    <w:rsid w:val="00EC5C5E"/>
  </w:style>
  <w:style w:type="character" w:customStyle="1" w:styleId="Heading2Char">
    <w:name w:val="Heading 2 Char"/>
    <w:basedOn w:val="DefaultParagraphFont"/>
    <w:link w:val="Heading2"/>
    <w:uiPriority w:val="9"/>
    <w:rsid w:val="00C15B82"/>
    <w:rPr>
      <w:rFonts w:asciiTheme="majorHAnsi" w:eastAsiaTheme="majorEastAsia" w:hAnsiTheme="majorHAnsi" w:cs="Mangal"/>
      <w:color w:val="2F5496" w:themeColor="accent1" w:themeShade="BF"/>
      <w:kern w:val="2"/>
      <w:sz w:val="26"/>
      <w:szCs w:val="23"/>
      <w:lang w:eastAsia="zh-CN" w:bidi="hi-IN"/>
    </w:rPr>
  </w:style>
  <w:style w:type="character" w:customStyle="1" w:styleId="anchor-text">
    <w:name w:val="anchor-text"/>
    <w:basedOn w:val="DefaultParagraphFont"/>
    <w:rsid w:val="00C15B82"/>
  </w:style>
  <w:style w:type="character" w:customStyle="1" w:styleId="hlfld-title">
    <w:name w:val="hlfld-title"/>
    <w:basedOn w:val="DefaultParagraphFont"/>
    <w:rsid w:val="00E542E9"/>
  </w:style>
  <w:style w:type="character" w:styleId="Strong">
    <w:name w:val="Strong"/>
    <w:uiPriority w:val="22"/>
    <w:qFormat/>
    <w:rsid w:val="005B6EF8"/>
    <w:rPr>
      <w:b/>
      <w:bCs/>
    </w:rPr>
  </w:style>
  <w:style w:type="paragraph" w:styleId="TOCHeading">
    <w:name w:val="TOC Heading"/>
    <w:basedOn w:val="Heading1"/>
    <w:next w:val="Normal"/>
    <w:uiPriority w:val="39"/>
    <w:unhideWhenUsed/>
    <w:qFormat/>
    <w:rsid w:val="00C8234A"/>
    <w:pPr>
      <w:spacing w:line="259" w:lineRule="auto"/>
      <w:outlineLvl w:val="9"/>
    </w:pPr>
    <w:rPr>
      <w:rFonts w:cstheme="majorBidi"/>
      <w:kern w:val="0"/>
      <w:szCs w:val="32"/>
      <w:lang w:eastAsia="en-US" w:bidi="ar-SA"/>
    </w:rPr>
  </w:style>
  <w:style w:type="paragraph" w:styleId="TOC1">
    <w:name w:val="toc 1"/>
    <w:basedOn w:val="Normal"/>
    <w:next w:val="Normal"/>
    <w:autoRedefine/>
    <w:uiPriority w:val="39"/>
    <w:unhideWhenUsed/>
    <w:rsid w:val="00EF14C6"/>
    <w:pPr>
      <w:spacing w:after="100"/>
    </w:pPr>
    <w:rPr>
      <w:rFonts w:cs="Mangal"/>
      <w:szCs w:val="21"/>
    </w:rPr>
  </w:style>
  <w:style w:type="paragraph" w:styleId="TOC2">
    <w:name w:val="toc 2"/>
    <w:basedOn w:val="Normal"/>
    <w:next w:val="Normal"/>
    <w:autoRedefine/>
    <w:uiPriority w:val="39"/>
    <w:unhideWhenUsed/>
    <w:rsid w:val="00EF14C6"/>
    <w:pPr>
      <w:spacing w:after="100"/>
      <w:ind w:left="240"/>
    </w:pPr>
    <w:rPr>
      <w:rFonts w:cs="Mangal"/>
      <w:szCs w:val="21"/>
    </w:rPr>
  </w:style>
  <w:style w:type="paragraph" w:styleId="TOC3">
    <w:name w:val="toc 3"/>
    <w:basedOn w:val="Normal"/>
    <w:next w:val="Normal"/>
    <w:autoRedefine/>
    <w:uiPriority w:val="39"/>
    <w:unhideWhenUsed/>
    <w:rsid w:val="004859EA"/>
    <w:pPr>
      <w:spacing w:after="100"/>
      <w:ind w:left="480"/>
    </w:pPr>
    <w:rPr>
      <w:rFonts w:cs="Mangal"/>
      <w:szCs w:val="21"/>
    </w:rPr>
  </w:style>
  <w:style w:type="character" w:customStyle="1" w:styleId="hscoswrapper">
    <w:name w:val="hs_cos_wrapper"/>
    <w:basedOn w:val="DefaultParagraphFont"/>
    <w:rsid w:val="00A906F7"/>
  </w:style>
  <w:style w:type="character" w:customStyle="1" w:styleId="expandableitem">
    <w:name w:val="expandableitem"/>
    <w:basedOn w:val="DefaultParagraphFont"/>
    <w:rsid w:val="00A906F7"/>
  </w:style>
  <w:style w:type="character" w:customStyle="1" w:styleId="copy-the-code-shortcode">
    <w:name w:val="copy-the-code-shortcode"/>
    <w:basedOn w:val="DefaultParagraphFont"/>
    <w:rsid w:val="00A906F7"/>
  </w:style>
  <w:style w:type="character" w:customStyle="1" w:styleId="nowrap">
    <w:name w:val="nowrap"/>
    <w:basedOn w:val="DefaultParagraphFont"/>
    <w:rsid w:val="00F137F6"/>
  </w:style>
  <w:style w:type="paragraph" w:styleId="IntenseQuote">
    <w:name w:val="Intense Quote"/>
    <w:basedOn w:val="Normal"/>
    <w:next w:val="Normal"/>
    <w:link w:val="IntenseQuoteChar"/>
    <w:uiPriority w:val="30"/>
    <w:qFormat/>
    <w:rsid w:val="00B5263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Cs/>
      <w:color w:val="2F5496" w:themeColor="accent1" w:themeShade="BF"/>
      <w:sz w:val="22"/>
      <w:szCs w:val="22"/>
      <w:lang w:eastAsia="en-US" w:bidi="ar-SA"/>
      <w14:ligatures w14:val="standardContextual"/>
    </w:rPr>
  </w:style>
  <w:style w:type="character" w:customStyle="1" w:styleId="IntenseQuoteChar">
    <w:name w:val="Intense Quote Char"/>
    <w:basedOn w:val="DefaultParagraphFont"/>
    <w:link w:val="IntenseQuote"/>
    <w:uiPriority w:val="30"/>
    <w:rsid w:val="00B5263E"/>
    <w:rPr>
      <w:rFonts w:ascii="Times New Roman" w:hAnsi="Times New Roman"/>
      <w:iCs/>
      <w:color w:val="2F5496"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709069">
      <w:bodyDiv w:val="1"/>
      <w:marLeft w:val="0"/>
      <w:marRight w:val="0"/>
      <w:marTop w:val="0"/>
      <w:marBottom w:val="0"/>
      <w:divBdr>
        <w:top w:val="none" w:sz="0" w:space="0" w:color="auto"/>
        <w:left w:val="none" w:sz="0" w:space="0" w:color="auto"/>
        <w:bottom w:val="none" w:sz="0" w:space="0" w:color="auto"/>
        <w:right w:val="none" w:sz="0" w:space="0" w:color="auto"/>
      </w:divBdr>
    </w:div>
    <w:div w:id="699555025">
      <w:bodyDiv w:val="1"/>
      <w:marLeft w:val="0"/>
      <w:marRight w:val="0"/>
      <w:marTop w:val="0"/>
      <w:marBottom w:val="0"/>
      <w:divBdr>
        <w:top w:val="none" w:sz="0" w:space="0" w:color="auto"/>
        <w:left w:val="none" w:sz="0" w:space="0" w:color="auto"/>
        <w:bottom w:val="none" w:sz="0" w:space="0" w:color="auto"/>
        <w:right w:val="none" w:sz="0" w:space="0" w:color="auto"/>
      </w:divBdr>
    </w:div>
    <w:div w:id="1002246439">
      <w:bodyDiv w:val="1"/>
      <w:marLeft w:val="0"/>
      <w:marRight w:val="0"/>
      <w:marTop w:val="0"/>
      <w:marBottom w:val="0"/>
      <w:divBdr>
        <w:top w:val="none" w:sz="0" w:space="0" w:color="auto"/>
        <w:left w:val="none" w:sz="0" w:space="0" w:color="auto"/>
        <w:bottom w:val="none" w:sz="0" w:space="0" w:color="auto"/>
        <w:right w:val="none" w:sz="0" w:space="0" w:color="auto"/>
      </w:divBdr>
    </w:div>
    <w:div w:id="1461925118">
      <w:bodyDiv w:val="1"/>
      <w:marLeft w:val="0"/>
      <w:marRight w:val="0"/>
      <w:marTop w:val="0"/>
      <w:marBottom w:val="0"/>
      <w:divBdr>
        <w:top w:val="none" w:sz="0" w:space="0" w:color="auto"/>
        <w:left w:val="none" w:sz="0" w:space="0" w:color="auto"/>
        <w:bottom w:val="none" w:sz="0" w:space="0" w:color="auto"/>
        <w:right w:val="none" w:sz="0" w:space="0" w:color="auto"/>
      </w:divBdr>
    </w:div>
    <w:div w:id="1827866711">
      <w:bodyDiv w:val="1"/>
      <w:marLeft w:val="0"/>
      <w:marRight w:val="0"/>
      <w:marTop w:val="0"/>
      <w:marBottom w:val="0"/>
      <w:divBdr>
        <w:top w:val="none" w:sz="0" w:space="0" w:color="auto"/>
        <w:left w:val="none" w:sz="0" w:space="0" w:color="auto"/>
        <w:bottom w:val="none" w:sz="0" w:space="0" w:color="auto"/>
        <w:right w:val="none" w:sz="0" w:space="0" w:color="auto"/>
      </w:divBdr>
    </w:div>
    <w:div w:id="209940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1.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9.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jpeg"/><Relationship Id="rId33" Type="http://schemas.openxmlformats.org/officeDocument/2006/relationships/image" Target="media/image18.emf"/><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jpeg"/><Relationship Id="rId32" Type="http://schemas.openxmlformats.org/officeDocument/2006/relationships/image" Target="media/image17.jpg"/><Relationship Id="rId37" Type="http://schemas.openxmlformats.org/officeDocument/2006/relationships/image" Target="media/image21.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emf"/><Relationship Id="rId36" Type="http://schemas.openxmlformats.org/officeDocument/2006/relationships/image" Target="media/image20.jp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6.jp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2.jpeg"/><Relationship Id="rId30" Type="http://schemas.openxmlformats.org/officeDocument/2006/relationships/image" Target="media/image15.jpg"/><Relationship Id="rId35" Type="http://schemas.openxmlformats.org/officeDocument/2006/relationships/oleObject" Target="embeddings/oleObject9.bin"/></Relationships>
</file>

<file path=word/_rels/endnotes.xml.rels><?xml version="1.0" encoding="UTF-8" standalone="yes"?>
<Relationships xmlns="http://schemas.openxmlformats.org/package/2006/relationships"><Relationship Id="rId3" Type="http://schemas.openxmlformats.org/officeDocument/2006/relationships/hyperlink" Target="https://en.wikipedia.org/wiki/Doi_(identifier)" TargetMode="External"/><Relationship Id="rId7" Type="http://schemas.openxmlformats.org/officeDocument/2006/relationships/hyperlink" Target="https://pubs.acs.org/doi/10.1021/la990136e" TargetMode="External"/><Relationship Id="rId2" Type="http://schemas.openxmlformats.org/officeDocument/2006/relationships/hyperlink" Target="https://doi.org/10.1007/s10450-020-00267-8" TargetMode="External"/><Relationship Id="rId1" Type="http://schemas.openxmlformats.org/officeDocument/2006/relationships/hyperlink" Target="https://pubs.acs.org/doi/10.1021/ja01269a023" TargetMode="External"/><Relationship Id="rId6" Type="http://schemas.openxmlformats.org/officeDocument/2006/relationships/hyperlink" Target="https://en.wikipedia.org/wiki/Special:BookSources/9780444520227" TargetMode="External"/><Relationship Id="rId5" Type="http://schemas.openxmlformats.org/officeDocument/2006/relationships/hyperlink" Target="https://en.wikipedia.org/wiki/ISBN_(identifier)" TargetMode="External"/><Relationship Id="rId4" Type="http://schemas.openxmlformats.org/officeDocument/2006/relationships/hyperlink" Target="https://doi.org/10.1016%2Fs0167-2991%2807%298000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7C6EE-1562-4F55-BB5E-D3F836A2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2721</TotalTime>
  <Pages>42</Pages>
  <Words>13424</Words>
  <Characters>76518</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Condon</dc:creator>
  <cp:keywords/>
  <dc:description/>
  <cp:lastModifiedBy>James Condon</cp:lastModifiedBy>
  <cp:revision>8</cp:revision>
  <cp:lastPrinted>2023-06-24T16:50:00Z</cp:lastPrinted>
  <dcterms:created xsi:type="dcterms:W3CDTF">2024-06-14T17:09:00Z</dcterms:created>
  <dcterms:modified xsi:type="dcterms:W3CDTF">2024-07-12T00:34:00Z</dcterms:modified>
</cp:coreProperties>
</file>